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31081904" w:rsidR="00093CA9" w:rsidRDefault="0033737E" w:rsidP="00093CA9">
            <w:proofErr w:type="spellStart"/>
            <w:r>
              <w:t>Blomstein</w:t>
            </w:r>
            <w:proofErr w:type="spellEnd"/>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5091F3C3" w:rsidR="00093CA9" w:rsidRDefault="006840CD" w:rsidP="00093CA9">
            <w:r>
              <w:t>EU</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0169329F" w:rsidR="00093CA9" w:rsidRDefault="00835BAA" w:rsidP="00093CA9">
            <w:r w:rsidRPr="00835BAA">
              <w:t>Directive 2014/24/EU on Public Procurement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433095BC" w:rsidR="00093CA9" w:rsidRDefault="00955160" w:rsidP="00093CA9">
            <w:hyperlink r:id="rId17" w:history="1">
              <w:r w:rsidRPr="00CA6DC4">
                <w:rPr>
                  <w:rStyle w:val="Hyperlink"/>
                </w:rPr>
                <w:t>https://web.archive.org/web/20250723082652/https://eur-lex.europa.eu/eli/dir/2014/24/oj/eng</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37C98B62"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53C53411" w:rsidR="00093CA9" w:rsidRDefault="00835BAA" w:rsidP="00093CA9">
            <w:r>
              <w:t>X</w:t>
            </w:r>
          </w:p>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225D4869"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4F6B62E4"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59F7C680" w14:textId="77777777" w:rsidR="00093CA9" w:rsidRDefault="0009574C" w:rsidP="00093CA9">
            <w:r>
              <w:t xml:space="preserve">The </w:t>
            </w:r>
            <w:r w:rsidRPr="0009574C">
              <w:t>Directive 2014/24/EU</w:t>
            </w:r>
            <w:r>
              <w:t>, also known as EU</w:t>
            </w:r>
            <w:r w:rsidR="00D27066">
              <w:t xml:space="preserve"> </w:t>
            </w:r>
            <w:r w:rsidR="00D27066" w:rsidRPr="00D27066">
              <w:t>Public Procurement Directive</w:t>
            </w:r>
            <w:r w:rsidR="00D27066">
              <w:t xml:space="preserve"> or Classical Directive</w:t>
            </w:r>
            <w:r w:rsidR="00FC44E3">
              <w:t xml:space="preserve"> </w:t>
            </w:r>
            <w:r w:rsidR="00FC44E3" w:rsidRPr="00FC44E3">
              <w:t>lays down the EU-wide legal framework for public procurement above certain thresholds. While primarily designed to ensure transparency, competition and efficient public spending, it also explicitly integrates climate and environmental objectives.</w:t>
            </w:r>
          </w:p>
          <w:p w14:paraId="43E28D98" w14:textId="3873BAC8" w:rsidR="00226295" w:rsidRDefault="00226295" w:rsidP="00226295">
            <w:r>
              <w:t>Under Article 18(2), Member States must ensure that economic operators comply with environmental, social, and labour la</w:t>
            </w:r>
            <w:r>
              <w:t xml:space="preserve">w, </w:t>
            </w:r>
            <w:r>
              <w:t>including international environmental conventions listed in Annex X. The Directive further enables green public procurement by allowing contracting authorities to:</w:t>
            </w:r>
          </w:p>
          <w:p w14:paraId="2AF02B7A" w14:textId="2FBD3796" w:rsidR="00226295" w:rsidRDefault="00226295" w:rsidP="003C1E57">
            <w:pPr>
              <w:pStyle w:val="ListParagraph"/>
              <w:numPr>
                <w:ilvl w:val="0"/>
                <w:numId w:val="50"/>
              </w:numPr>
            </w:pPr>
            <w:r>
              <w:t>Include environmental performance in technical specifications (Ar</w:t>
            </w:r>
            <w:r>
              <w:t>ticle</w:t>
            </w:r>
            <w:r>
              <w:t> 42)</w:t>
            </w:r>
            <w:r>
              <w:t xml:space="preserve">; </w:t>
            </w:r>
          </w:p>
          <w:p w14:paraId="0D274A63" w14:textId="18E4269C" w:rsidR="00226295" w:rsidRDefault="00226295" w:rsidP="003C1E57">
            <w:pPr>
              <w:pStyle w:val="ListParagraph"/>
              <w:numPr>
                <w:ilvl w:val="0"/>
                <w:numId w:val="50"/>
              </w:numPr>
            </w:pPr>
            <w:r>
              <w:t>Use labels to verify green criteria (Art</w:t>
            </w:r>
            <w:r>
              <w:t>icle</w:t>
            </w:r>
            <w:r>
              <w:t> 43)</w:t>
            </w:r>
            <w:r>
              <w:t>;</w:t>
            </w:r>
          </w:p>
          <w:p w14:paraId="1B6CF44C" w14:textId="658758EF" w:rsidR="00226295" w:rsidRDefault="00226295" w:rsidP="003C1E57">
            <w:pPr>
              <w:pStyle w:val="ListParagraph"/>
              <w:numPr>
                <w:ilvl w:val="0"/>
                <w:numId w:val="50"/>
              </w:numPr>
            </w:pPr>
            <w:r>
              <w:t>Apply life-cycle costing (Art</w:t>
            </w:r>
            <w:r>
              <w:t>icle</w:t>
            </w:r>
            <w:r>
              <w:t> 68)</w:t>
            </w:r>
            <w:r>
              <w:t>;</w:t>
            </w:r>
          </w:p>
          <w:p w14:paraId="2EABAD5B" w14:textId="75A00402" w:rsidR="00226295" w:rsidRDefault="00226295" w:rsidP="003C1E57">
            <w:pPr>
              <w:pStyle w:val="ListParagraph"/>
              <w:numPr>
                <w:ilvl w:val="0"/>
                <w:numId w:val="50"/>
              </w:numPr>
            </w:pPr>
            <w:r>
              <w:t>Set green performance conditions in contracts (Art</w:t>
            </w:r>
            <w:r>
              <w:t xml:space="preserve">icle </w:t>
            </w:r>
            <w:r>
              <w:t>70)</w:t>
            </w:r>
            <w:r>
              <w:t>;</w:t>
            </w:r>
          </w:p>
          <w:p w14:paraId="40E193CC" w14:textId="0AC59D76" w:rsidR="00FC44E3" w:rsidRDefault="00226295" w:rsidP="003C1E57">
            <w:pPr>
              <w:pStyle w:val="ListParagraph"/>
              <w:numPr>
                <w:ilvl w:val="0"/>
                <w:numId w:val="50"/>
              </w:numPr>
            </w:pPr>
            <w:r>
              <w:t>Award contracts based on environmentally advantageous criteria (Art</w:t>
            </w:r>
            <w:r>
              <w:t>icle</w:t>
            </w:r>
            <w:r>
              <w:t> 67)</w:t>
            </w:r>
            <w:r>
              <w:t>.</w:t>
            </w:r>
          </w:p>
          <w:p w14:paraId="18257824" w14:textId="3B65F884" w:rsidR="003C1E57" w:rsidRDefault="003C1E57" w:rsidP="00226295">
            <w:r w:rsidRPr="003C1E57">
              <w:t>These provisions make Directive 2014/24/EU the core binding legal tool for integrating climate considerations into EU public procurement.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597C8748" w:rsidR="00093CA9" w:rsidRDefault="003C1E57"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7B0623EC" w:rsidR="00093CA9" w:rsidRPr="00173D7C" w:rsidRDefault="003B785A" w:rsidP="00093CA9">
            <w:pPr>
              <w:rPr>
                <w:color w:val="000000" w:themeColor="text1"/>
              </w:rPr>
            </w:pPr>
            <w:r>
              <w:rPr>
                <w:color w:val="000000" w:themeColor="text1"/>
              </w:rPr>
              <w:t>2014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4CD33F97" w:rsidR="00093CA9" w:rsidRPr="00173D7C" w:rsidRDefault="003B785A" w:rsidP="00093CA9">
            <w:pPr>
              <w:rPr>
                <w:color w:val="000000" w:themeColor="text1"/>
              </w:rPr>
            </w:pPr>
            <w:r>
              <w:rPr>
                <w:color w:val="000000" w:themeColor="text1"/>
              </w:rPr>
              <w:t>2014</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134C5E52" w:rsidR="00093CA9" w:rsidRDefault="006E62B2" w:rsidP="00093CA9">
            <w:r>
              <w:t>The European Parliament and the Council of the European Union.</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81807AB" w:rsidR="00093CA9" w:rsidRPr="006B7B0D" w:rsidRDefault="008F13F7" w:rsidP="00093CA9">
            <w:r>
              <w:t>European Commission</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CEAF719" w:rsidR="00093CA9" w:rsidRPr="006B7B0D" w:rsidRDefault="008F13F7"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lastRenderedPageBreak/>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08400A89" w14:textId="77777777" w:rsidR="002234FA" w:rsidRDefault="002234FA" w:rsidP="00093CA9">
            <w:r w:rsidRPr="002234FA">
              <w:t xml:space="preserve">The European Commission is perceived as having a high capacity to oversee the implementation and enforcement of Directive 2014/24/EU. </w:t>
            </w:r>
          </w:p>
          <w:p w14:paraId="1BABB609" w14:textId="77777777" w:rsidR="002234FA" w:rsidRDefault="002234FA" w:rsidP="00093CA9">
            <w:r w:rsidRPr="002234FA">
              <w:t xml:space="preserve">This is due to its dedicated internal structures, such as the Directorate-General for Internal Market, Industry, Entrepreneurship and SMEs (DG GROW), its ability to issue interpretative guidance and operate procurement platforms like SIMAP, and its legal powers to initiate infringement proceedings under Article 258 TFEU. </w:t>
            </w:r>
          </w:p>
          <w:p w14:paraId="42D06D03" w14:textId="1BE0D72E" w:rsidR="00093CA9" w:rsidRDefault="002234FA" w:rsidP="00093CA9">
            <w:r w:rsidRPr="002234FA">
              <w:t>The Commission also chairs the Advisory Committee on Public Procurement under Article 89 of the Directive and coordinates administrative cooperation among Member States under Article 86.</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7A50B0F0" w:rsidR="00093CA9" w:rsidRDefault="004373C4"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2BBD0D99" w14:textId="77777777" w:rsidR="00093CA9" w:rsidRDefault="00B02BB9" w:rsidP="00093CA9">
            <w:pPr>
              <w:keepNext/>
              <w:rPr>
                <w:color w:val="000000" w:themeColor="text1"/>
              </w:rPr>
            </w:pPr>
            <w:r>
              <w:rPr>
                <w:color w:val="000000" w:themeColor="text1"/>
              </w:rPr>
              <w:t xml:space="preserve">- </w:t>
            </w:r>
            <w:r w:rsidR="004373C4" w:rsidRPr="004373C4">
              <w:rPr>
                <w:color w:val="000000" w:themeColor="text1"/>
              </w:rPr>
              <w:t>Article 84(1)</w:t>
            </w:r>
            <w:r>
              <w:rPr>
                <w:color w:val="000000" w:themeColor="text1"/>
              </w:rPr>
              <w:t>:</w:t>
            </w:r>
            <w:r w:rsidR="004373C4" w:rsidRPr="004373C4">
              <w:rPr>
                <w:color w:val="000000" w:themeColor="text1"/>
              </w:rPr>
              <w:t xml:space="preserve"> contracting authorities are required to draw up an individual report for every contract or framework agreement covered by the Directive, including for dynamic purchasing systems. These reports must document key aspects of the procedure, such as:</w:t>
            </w:r>
            <w:r>
              <w:rPr>
                <w:color w:val="000000" w:themeColor="text1"/>
              </w:rPr>
              <w:t xml:space="preserve"> </w:t>
            </w:r>
            <w:r w:rsidRPr="00B02BB9">
              <w:rPr>
                <w:color w:val="000000" w:themeColor="text1"/>
              </w:rPr>
              <w:t>the name and address of the contracting authority, the subject and value of the contract</w:t>
            </w:r>
            <w:r>
              <w:rPr>
                <w:color w:val="000000" w:themeColor="text1"/>
              </w:rPr>
              <w:t xml:space="preserve">; </w:t>
            </w:r>
            <w:r>
              <w:rPr>
                <w:color w:val="000000" w:themeColor="text1"/>
              </w:rPr>
              <w:lastRenderedPageBreak/>
              <w:t>justification for the choice of procedure; reasons for excluding candidates or rejecting tenders; and decisions to not award or cancel a procedure.</w:t>
            </w:r>
          </w:p>
          <w:p w14:paraId="222EF5F4" w14:textId="77777777" w:rsidR="00B02BB9" w:rsidRDefault="00B02BB9" w:rsidP="00093CA9">
            <w:pPr>
              <w:keepNext/>
              <w:rPr>
                <w:color w:val="000000" w:themeColor="text1"/>
              </w:rPr>
            </w:pPr>
            <w:r>
              <w:rPr>
                <w:color w:val="000000" w:themeColor="text1"/>
              </w:rPr>
              <w:t xml:space="preserve">- Article 84(2): </w:t>
            </w:r>
            <w:r w:rsidR="00B565F0" w:rsidRPr="00B565F0">
              <w:rPr>
                <w:color w:val="000000" w:themeColor="text1"/>
              </w:rPr>
              <w:t>Member States may require these reports to be submitted centrally or made available to the Commission or national oversight bodies.</w:t>
            </w:r>
          </w:p>
          <w:p w14:paraId="04AA0C0F" w14:textId="77777777" w:rsidR="00B565F0" w:rsidRDefault="00B565F0" w:rsidP="001978F0">
            <w:pPr>
              <w:keepNext/>
              <w:rPr>
                <w:color w:val="000000" w:themeColor="text1"/>
              </w:rPr>
            </w:pPr>
            <w:r>
              <w:rPr>
                <w:color w:val="000000" w:themeColor="text1"/>
              </w:rPr>
              <w:t xml:space="preserve">- Article 85: </w:t>
            </w:r>
            <w:r w:rsidRPr="00B565F0">
              <w:rPr>
                <w:color w:val="000000" w:themeColor="text1"/>
              </w:rPr>
              <w:t>Member States must submit to the European Commission statistical reports every three years. These reports must contain:</w:t>
            </w:r>
            <w:r>
              <w:rPr>
                <w:color w:val="000000" w:themeColor="text1"/>
              </w:rPr>
              <w:t xml:space="preserve"> </w:t>
            </w:r>
            <w:r w:rsidR="001978F0" w:rsidRPr="001978F0">
              <w:rPr>
                <w:color w:val="000000" w:themeColor="text1"/>
              </w:rPr>
              <w:t>aggregated data on the number and value of public contracts awarded</w:t>
            </w:r>
            <w:r w:rsidR="001978F0">
              <w:rPr>
                <w:color w:val="000000" w:themeColor="text1"/>
              </w:rPr>
              <w:t xml:space="preserve">; </w:t>
            </w:r>
            <w:r w:rsidR="001978F0" w:rsidRPr="001978F0">
              <w:rPr>
                <w:color w:val="000000" w:themeColor="text1"/>
              </w:rPr>
              <w:t>the breakdown by type of procedure used</w:t>
            </w:r>
            <w:r w:rsidR="001978F0">
              <w:rPr>
                <w:color w:val="000000" w:themeColor="text1"/>
              </w:rPr>
              <w:t xml:space="preserve">; </w:t>
            </w:r>
            <w:r w:rsidR="001978F0" w:rsidRPr="001978F0">
              <w:rPr>
                <w:color w:val="000000" w:themeColor="text1"/>
              </w:rPr>
              <w:t>information on subcontracting</w:t>
            </w:r>
            <w:r w:rsidR="001978F0">
              <w:rPr>
                <w:color w:val="000000" w:themeColor="text1"/>
              </w:rPr>
              <w:t>;</w:t>
            </w:r>
            <w:r w:rsidR="001978F0" w:rsidRPr="001978F0">
              <w:rPr>
                <w:color w:val="000000" w:themeColor="text1"/>
              </w:rPr>
              <w:t xml:space="preserve"> and</w:t>
            </w:r>
            <w:r w:rsidR="001978F0">
              <w:rPr>
                <w:color w:val="000000" w:themeColor="text1"/>
              </w:rPr>
              <w:t xml:space="preserve"> </w:t>
            </w:r>
            <w:r w:rsidR="001978F0" w:rsidRPr="001978F0">
              <w:rPr>
                <w:color w:val="000000" w:themeColor="text1"/>
              </w:rPr>
              <w:t>data on the use of reserved contracts and contracts with environmental, social or innovation criteria</w:t>
            </w:r>
            <w:r w:rsidR="001978F0">
              <w:rPr>
                <w:color w:val="000000" w:themeColor="text1"/>
              </w:rPr>
              <w:t>.</w:t>
            </w:r>
          </w:p>
          <w:p w14:paraId="2C2128DB" w14:textId="6DD75310" w:rsidR="001978F0" w:rsidRPr="008017F9" w:rsidRDefault="001978F0" w:rsidP="001978F0">
            <w:pPr>
              <w:keepNext/>
              <w:rPr>
                <w:color w:val="000000" w:themeColor="text1"/>
              </w:rPr>
            </w:pPr>
            <w:r>
              <w:rPr>
                <w:color w:val="000000" w:themeColor="text1"/>
              </w:rPr>
              <w:t xml:space="preserve">- Articles 48-50 and Annex V: </w:t>
            </w:r>
            <w:r w:rsidR="003F70CB">
              <w:rPr>
                <w:color w:val="000000" w:themeColor="text1"/>
              </w:rPr>
              <w:t>T</w:t>
            </w:r>
            <w:r w:rsidR="003F70CB" w:rsidRPr="003F70CB">
              <w:rPr>
                <w:color w:val="000000" w:themeColor="text1"/>
              </w:rPr>
              <w:t>he publication of procurement notices and award results via the Tenders Electronic Daily (TED) platform</w:t>
            </w:r>
            <w:r w:rsidR="003F70CB">
              <w:t xml:space="preserve"> </w:t>
            </w:r>
            <w:r w:rsidR="003F70CB" w:rsidRPr="003F70CB">
              <w:rPr>
                <w:color w:val="000000" w:themeColor="text1"/>
              </w:rPr>
              <w:t>ensures a degree of open data availability, supporting transparency and public oversight.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6840C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6840C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4856465F" w:rsidR="00D4323A" w:rsidRPr="00610F28" w:rsidRDefault="00BF6702" w:rsidP="00610F28">
            <w:pPr>
              <w:rPr>
                <w:rFonts w:ascii="Calibri" w:hAnsi="Calibri" w:cs="Calibri"/>
              </w:rPr>
            </w:pPr>
            <w:r>
              <w:rPr>
                <w:rFonts w:ascii="Calibri" w:hAnsi="Calibri" w:cs="Calibri"/>
              </w:rPr>
              <w:t>X</w:t>
            </w: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30D684BA" w:rsidR="00D4323A" w:rsidRPr="00610F28" w:rsidRDefault="00BF6702" w:rsidP="00610F28">
            <w:pPr>
              <w:rPr>
                <w:rFonts w:ascii="Calibri" w:hAnsi="Calibri" w:cs="Calibri"/>
              </w:rPr>
            </w:pPr>
            <w:r>
              <w:rPr>
                <w:rFonts w:ascii="Calibri" w:hAnsi="Calibri" w:cs="Calibri"/>
              </w:rPr>
              <w:t>X</w:t>
            </w: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30AEA1B9" w:rsidR="00D4323A" w:rsidRPr="00610F28" w:rsidRDefault="00BF6702" w:rsidP="00610F28">
            <w:pPr>
              <w:rPr>
                <w:rFonts w:ascii="Calibri" w:hAnsi="Calibri" w:cs="Calibri"/>
              </w:rPr>
            </w:pPr>
            <w:r>
              <w:rPr>
                <w:rFonts w:ascii="Calibri" w:hAnsi="Calibri" w:cs="Calibri"/>
              </w:rPr>
              <w:t>X</w:t>
            </w: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367EFAFE" w:rsidR="00D4323A" w:rsidRPr="00610F28" w:rsidRDefault="00BF6702" w:rsidP="00610F28">
            <w:pPr>
              <w:rPr>
                <w:rFonts w:ascii="Calibri" w:hAnsi="Calibri" w:cs="Calibri"/>
              </w:rPr>
            </w:pPr>
            <w:r>
              <w:rPr>
                <w:rFonts w:ascii="Calibri" w:hAnsi="Calibri" w:cs="Calibri"/>
              </w:rPr>
              <w:t>X</w:t>
            </w: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406FB25F" w:rsidR="00D4323A" w:rsidRPr="00610F28" w:rsidRDefault="00BF6702" w:rsidP="00610F28">
            <w:pPr>
              <w:rPr>
                <w:rFonts w:ascii="Calibri" w:hAnsi="Calibri" w:cs="Calibri"/>
              </w:rPr>
            </w:pPr>
            <w:r>
              <w:rPr>
                <w:rFonts w:ascii="Calibri" w:hAnsi="Calibri" w:cs="Calibri"/>
              </w:rPr>
              <w:t>X</w:t>
            </w: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181AC706" w:rsidR="00D4323A" w:rsidRPr="00610F28" w:rsidRDefault="00BF6702" w:rsidP="00610F28">
            <w:pPr>
              <w:rPr>
                <w:rFonts w:ascii="Calibri" w:hAnsi="Calibri" w:cs="Calibri"/>
              </w:rPr>
            </w:pPr>
            <w:r>
              <w:rPr>
                <w:rFonts w:ascii="Calibri" w:hAnsi="Calibri" w:cs="Calibri"/>
              </w:rPr>
              <w:t>X</w:t>
            </w: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5651E2DB" w:rsidR="00D4323A" w:rsidRPr="00610F28" w:rsidRDefault="00BF6702" w:rsidP="00610F28">
            <w:pPr>
              <w:rPr>
                <w:rFonts w:ascii="Calibri" w:hAnsi="Calibri" w:cs="Calibri"/>
              </w:rPr>
            </w:pPr>
            <w:r>
              <w:rPr>
                <w:rFonts w:ascii="Calibri" w:hAnsi="Calibri" w:cs="Calibri"/>
              </w:rPr>
              <w:t>X</w:t>
            </w: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1E78D5CF" w:rsidR="00D4323A" w:rsidRPr="00610F28" w:rsidRDefault="00BF6702" w:rsidP="00610F28">
            <w:pPr>
              <w:rPr>
                <w:rFonts w:ascii="Calibri" w:hAnsi="Calibri" w:cs="Calibri"/>
              </w:rPr>
            </w:pPr>
            <w:r>
              <w:rPr>
                <w:rFonts w:ascii="Calibri" w:hAnsi="Calibri" w:cs="Calibri"/>
              </w:rPr>
              <w:t>X</w:t>
            </w: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1CAF2F68" w:rsidR="00D4323A" w:rsidRPr="00610F28" w:rsidRDefault="00BF6702" w:rsidP="00610F28">
            <w:pPr>
              <w:rPr>
                <w:rFonts w:ascii="Calibri" w:hAnsi="Calibri" w:cs="Calibri"/>
              </w:rPr>
            </w:pPr>
            <w:r>
              <w:rPr>
                <w:rFonts w:ascii="Calibri" w:hAnsi="Calibri" w:cs="Calibri"/>
              </w:rPr>
              <w:t>X</w:t>
            </w: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07BA6E05" w:rsidR="00D4323A" w:rsidRPr="00610F28" w:rsidRDefault="00BF6702" w:rsidP="00610F28">
            <w:pPr>
              <w:rPr>
                <w:rFonts w:ascii="Calibri" w:hAnsi="Calibri" w:cs="Calibri"/>
              </w:rPr>
            </w:pPr>
            <w:r>
              <w:rPr>
                <w:rFonts w:ascii="Calibri" w:hAnsi="Calibri" w:cs="Calibri"/>
              </w:rPr>
              <w:t>X</w:t>
            </w: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161B6300" w:rsidR="00D4323A" w:rsidRPr="00610F28" w:rsidRDefault="00BF6702" w:rsidP="00610F28">
            <w:pPr>
              <w:rPr>
                <w:rFonts w:ascii="Calibri" w:hAnsi="Calibri" w:cs="Calibri"/>
              </w:rPr>
            </w:pPr>
            <w:r>
              <w:rPr>
                <w:rFonts w:ascii="Calibri" w:hAnsi="Calibri" w:cs="Calibri"/>
              </w:rPr>
              <w:t>X</w:t>
            </w: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33B1BEC8" w:rsidR="00D4323A" w:rsidRPr="00610F28" w:rsidRDefault="00BF6702" w:rsidP="00610F28">
            <w:pPr>
              <w:rPr>
                <w:rFonts w:ascii="Calibri" w:hAnsi="Calibri" w:cs="Calibri"/>
              </w:rPr>
            </w:pPr>
            <w:r>
              <w:rPr>
                <w:rFonts w:ascii="Calibri" w:hAnsi="Calibri" w:cs="Calibri"/>
              </w:rPr>
              <w:t>X</w:t>
            </w: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44F0D8F2" w:rsidR="00D4323A" w:rsidRPr="00610F28" w:rsidRDefault="00BF6702" w:rsidP="00610F28">
            <w:pPr>
              <w:rPr>
                <w:rFonts w:ascii="Calibri" w:hAnsi="Calibri" w:cs="Calibri"/>
              </w:rPr>
            </w:pPr>
            <w:r>
              <w:rPr>
                <w:rFonts w:ascii="Calibri" w:hAnsi="Calibri" w:cs="Calibri"/>
              </w:rPr>
              <w:t>X</w:t>
            </w: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6FE66E0B" w14:textId="51A16457" w:rsidR="0051032B" w:rsidRDefault="0051032B" w:rsidP="00C15D54">
            <w:pPr>
              <w:rPr>
                <w:rFonts w:ascii="Calibri" w:hAnsi="Calibri" w:cs="Calibri"/>
              </w:rPr>
            </w:pPr>
            <w:r w:rsidRPr="0051032B">
              <w:rPr>
                <w:rFonts w:ascii="Calibri" w:hAnsi="Calibri" w:cs="Calibri"/>
              </w:rPr>
              <w:t>These entities are mandatorily subject to the Directive when they act on behalf of contracting authorities in procurement procedures</w:t>
            </w:r>
            <w:r>
              <w:rPr>
                <w:rFonts w:ascii="Calibri" w:hAnsi="Calibri" w:cs="Calibri"/>
              </w:rPr>
              <w:t>:</w:t>
            </w:r>
          </w:p>
          <w:p w14:paraId="67AA58C7" w14:textId="31E66CBD" w:rsidR="00C15D54" w:rsidRPr="00C15D54" w:rsidRDefault="00C15D54" w:rsidP="00C15D54">
            <w:pPr>
              <w:rPr>
                <w:rFonts w:ascii="Calibri" w:hAnsi="Calibri" w:cs="Calibri"/>
              </w:rPr>
            </w:pPr>
            <w:r>
              <w:rPr>
                <w:rFonts w:ascii="Calibri" w:hAnsi="Calibri" w:cs="Calibri"/>
              </w:rPr>
              <w:t xml:space="preserve">- </w:t>
            </w:r>
            <w:r w:rsidRPr="00C15D54">
              <w:rPr>
                <w:rFonts w:ascii="Calibri" w:hAnsi="Calibri" w:cs="Calibri"/>
              </w:rPr>
              <w:t>Central purchasing bodies (Article 2(1)(16))</w:t>
            </w:r>
            <w:r>
              <w:rPr>
                <w:rFonts w:ascii="Calibri" w:hAnsi="Calibri" w:cs="Calibri"/>
              </w:rPr>
              <w:t xml:space="preserve">: </w:t>
            </w:r>
            <w:r w:rsidRPr="00C15D54">
              <w:rPr>
                <w:rFonts w:ascii="Calibri" w:hAnsi="Calibri" w:cs="Calibri"/>
              </w:rPr>
              <w:t>entities that acquire supplies or services for other contracting authorities or award public contracts/framework agreements on their behalf.</w:t>
            </w:r>
          </w:p>
          <w:p w14:paraId="4C474D9F" w14:textId="03F2FFE1" w:rsidR="00C66EE0" w:rsidRPr="00610F28" w:rsidRDefault="00C15D54" w:rsidP="00C15D54">
            <w:pPr>
              <w:rPr>
                <w:rFonts w:ascii="Calibri" w:hAnsi="Calibri" w:cs="Calibri"/>
              </w:rPr>
            </w:pPr>
            <w:r>
              <w:rPr>
                <w:rFonts w:ascii="Calibri" w:hAnsi="Calibri" w:cs="Calibri"/>
              </w:rPr>
              <w:lastRenderedPageBreak/>
              <w:t xml:space="preserve">- </w:t>
            </w:r>
            <w:r w:rsidRPr="00C15D54">
              <w:rPr>
                <w:rFonts w:ascii="Calibri" w:hAnsi="Calibri" w:cs="Calibri"/>
              </w:rPr>
              <w:t>Procurement service providers (Article 2(1)(17))</w:t>
            </w:r>
            <w:r>
              <w:rPr>
                <w:rFonts w:ascii="Calibri" w:hAnsi="Calibri" w:cs="Calibri"/>
              </w:rPr>
              <w:t>:</w:t>
            </w:r>
            <w:r w:rsidRPr="00C15D54">
              <w:rPr>
                <w:rFonts w:ascii="Calibri" w:hAnsi="Calibri" w:cs="Calibri"/>
              </w:rPr>
              <w:t xml:space="preserve"> public or private bodies offering ancillary procurement services such as technical infrastructure or procurement advice.</w:t>
            </w: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lastRenderedPageBreak/>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2D9020C" w:rsidR="00C66EE0" w:rsidRPr="00610F28" w:rsidRDefault="006D283F" w:rsidP="00610F28">
            <w:pPr>
              <w:rPr>
                <w:rFonts w:ascii="Calibri" w:hAnsi="Calibri" w:cs="Calibri"/>
              </w:rPr>
            </w:pPr>
            <w:r>
              <w:rPr>
                <w:rFonts w:ascii="Calibri" w:hAnsi="Calibri" w:cs="Calibri"/>
              </w:rPr>
              <w:t>X</w:t>
            </w: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6C39C8EC" w:rsidR="00C66EE0" w:rsidRPr="00610F28" w:rsidRDefault="006D283F" w:rsidP="00610F28">
            <w:pPr>
              <w:rPr>
                <w:rFonts w:ascii="Calibri" w:hAnsi="Calibri" w:cs="Calibri"/>
              </w:rPr>
            </w:pPr>
            <w:r>
              <w:rPr>
                <w:rFonts w:ascii="Calibri" w:hAnsi="Calibri" w:cs="Calibri"/>
              </w:rPr>
              <w:t>X</w:t>
            </w: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FDE075B" w:rsidR="00C66EE0" w:rsidRPr="00610F28" w:rsidRDefault="006D283F" w:rsidP="00610F28">
            <w:pPr>
              <w:rPr>
                <w:rFonts w:ascii="Calibri" w:hAnsi="Calibri" w:cs="Calibri"/>
              </w:rPr>
            </w:pPr>
            <w:r>
              <w:rPr>
                <w:rFonts w:ascii="Calibri" w:hAnsi="Calibri" w:cs="Calibri"/>
              </w:rPr>
              <w:t>X</w:t>
            </w: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03CD378E" w:rsidR="00C66EE0" w:rsidRPr="00610F28" w:rsidRDefault="006D283F" w:rsidP="00610F28">
            <w:pPr>
              <w:rPr>
                <w:rFonts w:ascii="Calibri" w:hAnsi="Calibri" w:cs="Calibri"/>
              </w:rPr>
            </w:pPr>
            <w:r>
              <w:rPr>
                <w:rFonts w:ascii="Calibri" w:hAnsi="Calibri" w:cs="Calibri"/>
              </w:rPr>
              <w:t>X</w:t>
            </w: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0A3080CC" w:rsidR="00C66EE0" w:rsidRPr="00610F28" w:rsidRDefault="006D283F" w:rsidP="00610F28">
            <w:pPr>
              <w:rPr>
                <w:rFonts w:ascii="Calibri" w:hAnsi="Calibri" w:cs="Calibri"/>
              </w:rPr>
            </w:pPr>
            <w:r>
              <w:rPr>
                <w:rFonts w:ascii="Calibri" w:hAnsi="Calibri" w:cs="Calibri"/>
              </w:rPr>
              <w:t>X</w:t>
            </w: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01C9BE19" w:rsidR="00C66EE0" w:rsidRPr="00610F28" w:rsidRDefault="006D283F" w:rsidP="00610F28">
            <w:pPr>
              <w:rPr>
                <w:rFonts w:ascii="Calibri" w:hAnsi="Calibri" w:cs="Calibri"/>
              </w:rPr>
            </w:pPr>
            <w:r>
              <w:rPr>
                <w:rFonts w:ascii="Calibri" w:hAnsi="Calibri" w:cs="Calibri"/>
              </w:rPr>
              <w:t>X</w:t>
            </w: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252687D0" w14:textId="77777777" w:rsidR="00C66EE0" w:rsidRDefault="006D283F" w:rsidP="00610F28">
            <w:pPr>
              <w:rPr>
                <w:rFonts w:ascii="Calibri" w:hAnsi="Calibri" w:cs="Calibri"/>
              </w:rPr>
            </w:pPr>
            <w:r>
              <w:rPr>
                <w:rFonts w:ascii="Calibri" w:hAnsi="Calibri" w:cs="Calibri"/>
              </w:rPr>
              <w:t>A</w:t>
            </w:r>
            <w:r w:rsidRPr="006D283F">
              <w:rPr>
                <w:rFonts w:ascii="Calibri" w:hAnsi="Calibri" w:cs="Calibri"/>
              </w:rPr>
              <w:t>ny other financial service providers participating as economic operators.</w:t>
            </w:r>
          </w:p>
          <w:p w14:paraId="5CE18917" w14:textId="58A564AD" w:rsidR="006D283F" w:rsidRPr="00610F28" w:rsidRDefault="006D283F" w:rsidP="00610F28">
            <w:pPr>
              <w:rPr>
                <w:rFonts w:ascii="Calibri" w:hAnsi="Calibri" w:cs="Calibri"/>
              </w:rPr>
            </w:pPr>
            <w:r>
              <w:rPr>
                <w:rFonts w:ascii="Calibri" w:hAnsi="Calibri" w:cs="Calibri"/>
              </w:rPr>
              <w:t xml:space="preserve">However, it is important to clarify that </w:t>
            </w:r>
            <w:r w:rsidR="007B0770">
              <w:rPr>
                <w:rFonts w:ascii="Calibri" w:hAnsi="Calibri" w:cs="Calibri"/>
              </w:rPr>
              <w:t>t</w:t>
            </w:r>
            <w:r w:rsidR="007B0770" w:rsidRPr="007B0770">
              <w:rPr>
                <w:rFonts w:ascii="Calibri" w:hAnsi="Calibri" w:cs="Calibri"/>
              </w:rPr>
              <w:t>hese financial actors are not targeted as regulated contracting authorities under the Directive unless they are state-owned or publicly controlled and meet the criteria in Article 2(1)(4) (bodies governed by public law)</w:t>
            </w:r>
            <w:r w:rsidR="007B0770">
              <w:rPr>
                <w:rFonts w:ascii="Calibri" w:hAnsi="Calibri" w:cs="Calibri"/>
              </w:rPr>
              <w:t>.</w:t>
            </w: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256CF096" w:rsidR="00C66EE0" w:rsidRPr="00610F28" w:rsidRDefault="002938DE" w:rsidP="00610F28">
            <w:pPr>
              <w:rPr>
                <w:rFonts w:ascii="Calibri" w:hAnsi="Calibri" w:cs="Calibri"/>
              </w:rPr>
            </w:pPr>
            <w:r>
              <w:rPr>
                <w:rFonts w:ascii="Calibri" w:hAnsi="Calibri" w:cs="Calibri"/>
              </w:rPr>
              <w:t>X</w:t>
            </w: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5F565F17" w:rsidR="00C66EE0" w:rsidRPr="00610F28" w:rsidRDefault="002938DE" w:rsidP="00610F28">
            <w:pPr>
              <w:rPr>
                <w:rFonts w:ascii="Calibri" w:hAnsi="Calibri" w:cs="Calibri"/>
              </w:rPr>
            </w:pPr>
            <w:r>
              <w:rPr>
                <w:rFonts w:ascii="Calibri" w:hAnsi="Calibri" w:cs="Calibri"/>
              </w:rPr>
              <w:t>X</w:t>
            </w: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37407157" w:rsidR="00C66EE0" w:rsidRPr="00610F28" w:rsidRDefault="002938DE" w:rsidP="00610F28">
            <w:pPr>
              <w:rPr>
                <w:rFonts w:ascii="Calibri" w:hAnsi="Calibri" w:cs="Calibri"/>
              </w:rPr>
            </w:pPr>
            <w:r>
              <w:rPr>
                <w:rFonts w:ascii="Calibri" w:hAnsi="Calibri" w:cs="Calibri"/>
              </w:rPr>
              <w:t>X</w:t>
            </w: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39A3CFFE" w:rsidR="00C66EE0" w:rsidRPr="00610F28" w:rsidRDefault="002938DE" w:rsidP="00610F28">
            <w:pPr>
              <w:rPr>
                <w:rFonts w:ascii="Calibri" w:hAnsi="Calibri" w:cs="Calibri"/>
              </w:rPr>
            </w:pPr>
            <w:r>
              <w:rPr>
                <w:rFonts w:ascii="Calibri" w:hAnsi="Calibri" w:cs="Calibri"/>
              </w:rPr>
              <w:t>X</w:t>
            </w: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5C6F2401" w:rsidR="00C66EE0" w:rsidRPr="00610F28" w:rsidRDefault="002938DE" w:rsidP="00610F28">
            <w:pPr>
              <w:rPr>
                <w:rFonts w:ascii="Calibri" w:hAnsi="Calibri" w:cs="Calibri"/>
              </w:rPr>
            </w:pPr>
            <w:r>
              <w:rPr>
                <w:rFonts w:ascii="Calibri" w:hAnsi="Calibri" w:cs="Calibri"/>
              </w:rPr>
              <w:t>X</w:t>
            </w: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2EC5274F" w:rsidR="00C66EE0" w:rsidRPr="00610F28" w:rsidRDefault="002938DE" w:rsidP="00610F28">
            <w:pPr>
              <w:rPr>
                <w:rFonts w:ascii="Calibri" w:hAnsi="Calibri" w:cs="Calibri"/>
              </w:rPr>
            </w:pPr>
            <w:r>
              <w:rPr>
                <w:rFonts w:ascii="Calibri" w:hAnsi="Calibri" w:cs="Calibri"/>
              </w:rPr>
              <w:t>X</w:t>
            </w: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3E48F6D0" w:rsidR="00C66EE0" w:rsidRPr="00610F28" w:rsidRDefault="002938DE" w:rsidP="00610F28">
            <w:pPr>
              <w:rPr>
                <w:rFonts w:ascii="Calibri" w:hAnsi="Calibri" w:cs="Calibri"/>
              </w:rPr>
            </w:pPr>
            <w:r>
              <w:rPr>
                <w:rFonts w:ascii="Calibri" w:hAnsi="Calibri" w:cs="Calibri"/>
              </w:rPr>
              <w:t>X</w:t>
            </w: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lastRenderedPageBreak/>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5C81DF95" w:rsidR="00C66EE0" w:rsidRPr="00610F28" w:rsidRDefault="002938DE" w:rsidP="00610F28">
            <w:pPr>
              <w:rPr>
                <w:rFonts w:ascii="Calibri" w:hAnsi="Calibri" w:cs="Calibri"/>
              </w:rPr>
            </w:pPr>
            <w:r>
              <w:rPr>
                <w:rFonts w:ascii="Calibri" w:hAnsi="Calibri" w:cs="Calibri"/>
              </w:rPr>
              <w:t>X</w:t>
            </w: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0F8AEE55" w:rsidR="00C66EE0" w:rsidRPr="00610F28" w:rsidRDefault="002938DE" w:rsidP="00610F28">
            <w:pPr>
              <w:rPr>
                <w:rFonts w:ascii="Calibri" w:hAnsi="Calibri" w:cs="Calibri"/>
              </w:rPr>
            </w:pPr>
            <w:r>
              <w:rPr>
                <w:rFonts w:ascii="Calibri" w:hAnsi="Calibri" w:cs="Calibri"/>
              </w:rPr>
              <w:t>X</w:t>
            </w: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10316C19" w:rsidR="00C66EE0" w:rsidRPr="00610F28" w:rsidRDefault="002938DE" w:rsidP="00610F28">
            <w:pPr>
              <w:rPr>
                <w:rFonts w:ascii="Calibri" w:hAnsi="Calibri" w:cs="Calibri"/>
              </w:rPr>
            </w:pPr>
            <w:r>
              <w:rPr>
                <w:rFonts w:ascii="Calibri" w:hAnsi="Calibri" w:cs="Calibri"/>
              </w:rPr>
              <w:t>X</w:t>
            </w: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D6B47D1" w:rsidR="00C66EE0" w:rsidRPr="00610F28" w:rsidRDefault="002938DE" w:rsidP="00610F28">
            <w:pPr>
              <w:rPr>
                <w:rFonts w:ascii="Calibri" w:hAnsi="Calibri" w:cs="Calibri"/>
              </w:rPr>
            </w:pPr>
            <w:r>
              <w:rPr>
                <w:rFonts w:ascii="Calibri" w:hAnsi="Calibri" w:cs="Calibri"/>
              </w:rPr>
              <w:t>X</w:t>
            </w: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00E67D98" w:rsidR="00C66EE0" w:rsidRPr="00610F28" w:rsidRDefault="002938DE" w:rsidP="00610F28">
            <w:pPr>
              <w:rPr>
                <w:rFonts w:ascii="Calibri" w:hAnsi="Calibri" w:cs="Calibri"/>
              </w:rPr>
            </w:pPr>
            <w:r>
              <w:rPr>
                <w:rFonts w:ascii="Calibri" w:hAnsi="Calibri" w:cs="Calibri"/>
              </w:rPr>
              <w:t>X</w:t>
            </w: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17AF2453" w:rsidR="00C66EE0" w:rsidRPr="00610F28" w:rsidRDefault="002938DE" w:rsidP="00610F28">
            <w:pPr>
              <w:rPr>
                <w:rFonts w:ascii="Calibri" w:hAnsi="Calibri" w:cs="Calibri"/>
              </w:rPr>
            </w:pPr>
            <w:r>
              <w:rPr>
                <w:rFonts w:ascii="Calibri" w:hAnsi="Calibri" w:cs="Calibri"/>
              </w:rPr>
              <w:t>X</w:t>
            </w: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530CA916" w:rsidR="00C66EE0" w:rsidRPr="00610F28" w:rsidRDefault="002938DE" w:rsidP="00610F28">
            <w:pPr>
              <w:rPr>
                <w:rFonts w:ascii="Calibri" w:hAnsi="Calibri" w:cs="Calibri"/>
              </w:rPr>
            </w:pPr>
            <w:r>
              <w:rPr>
                <w:rFonts w:ascii="Calibri" w:hAnsi="Calibri" w:cs="Calibri"/>
              </w:rPr>
              <w:t>X</w:t>
            </w: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35114052" w:rsidR="00C66EE0" w:rsidRPr="00610F28" w:rsidRDefault="002938DE" w:rsidP="00610F28">
            <w:pPr>
              <w:rPr>
                <w:rFonts w:ascii="Calibri" w:hAnsi="Calibri" w:cs="Calibri"/>
              </w:rPr>
            </w:pPr>
            <w:r>
              <w:rPr>
                <w:rFonts w:ascii="Calibri" w:hAnsi="Calibri" w:cs="Calibri"/>
              </w:rPr>
              <w:t>X</w:t>
            </w: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1DD5E28" w:rsidR="00C66EE0" w:rsidRPr="00610F28" w:rsidRDefault="002938DE" w:rsidP="00610F28">
            <w:pPr>
              <w:rPr>
                <w:rFonts w:ascii="Calibri" w:hAnsi="Calibri" w:cs="Calibri"/>
              </w:rPr>
            </w:pPr>
            <w:r>
              <w:rPr>
                <w:rFonts w:ascii="Calibri" w:hAnsi="Calibri" w:cs="Calibri"/>
              </w:rPr>
              <w:t>X</w:t>
            </w: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5472129A" w:rsidR="00C66EE0" w:rsidRPr="00610F28" w:rsidRDefault="002938DE" w:rsidP="00610F28">
            <w:pPr>
              <w:rPr>
                <w:rFonts w:ascii="Calibri" w:hAnsi="Calibri" w:cs="Calibri"/>
              </w:rPr>
            </w:pPr>
            <w:r>
              <w:rPr>
                <w:rFonts w:ascii="Calibri" w:hAnsi="Calibri" w:cs="Calibri"/>
              </w:rPr>
              <w:t>X</w:t>
            </w: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27BF9F10" w:rsidR="00C66EE0" w:rsidRPr="00610F28" w:rsidRDefault="002938DE" w:rsidP="00610F28">
            <w:pPr>
              <w:rPr>
                <w:rFonts w:ascii="Calibri" w:hAnsi="Calibri" w:cs="Calibri"/>
              </w:rPr>
            </w:pPr>
            <w:r>
              <w:rPr>
                <w:rFonts w:ascii="Calibri" w:hAnsi="Calibri" w:cs="Calibri"/>
              </w:rPr>
              <w:t>X</w:t>
            </w: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D45FC21" w:rsidR="00C66EE0" w:rsidRPr="00610F28" w:rsidRDefault="002938DE" w:rsidP="00610F28">
            <w:pPr>
              <w:rPr>
                <w:rFonts w:ascii="Calibri" w:hAnsi="Calibri" w:cs="Calibri"/>
              </w:rPr>
            </w:pPr>
            <w:r>
              <w:rPr>
                <w:rFonts w:ascii="Calibri" w:hAnsi="Calibri" w:cs="Calibri"/>
              </w:rPr>
              <w:t>X</w:t>
            </w: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5FE5DD23" w:rsidR="00C66EE0" w:rsidRPr="00610F28" w:rsidRDefault="002938DE" w:rsidP="00610F28">
            <w:pPr>
              <w:rPr>
                <w:rFonts w:ascii="Calibri" w:hAnsi="Calibri" w:cs="Calibri"/>
              </w:rPr>
            </w:pPr>
            <w:r>
              <w:rPr>
                <w:rFonts w:ascii="Calibri" w:hAnsi="Calibri" w:cs="Calibri"/>
              </w:rPr>
              <w:t>X</w:t>
            </w: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106172A4" w:rsidR="00C66EE0" w:rsidRPr="00610F28" w:rsidRDefault="002938DE" w:rsidP="00610F28">
            <w:pPr>
              <w:rPr>
                <w:rFonts w:ascii="Calibri" w:hAnsi="Calibri" w:cs="Calibri"/>
              </w:rPr>
            </w:pPr>
            <w:r>
              <w:rPr>
                <w:rFonts w:ascii="Calibri" w:hAnsi="Calibri" w:cs="Calibri"/>
              </w:rPr>
              <w:t>X</w:t>
            </w: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0577B8C6" w:rsidR="00C66EE0" w:rsidRPr="00610F28" w:rsidRDefault="002938DE" w:rsidP="00610F28">
            <w:pPr>
              <w:rPr>
                <w:rFonts w:ascii="Calibri" w:hAnsi="Calibri" w:cs="Calibri"/>
              </w:rPr>
            </w:pPr>
            <w:r>
              <w:rPr>
                <w:rFonts w:ascii="Calibri" w:hAnsi="Calibri" w:cs="Calibri"/>
              </w:rPr>
              <w:t>X</w:t>
            </w: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2D7854E7" w:rsidR="00C66EE0" w:rsidRPr="00610F28" w:rsidRDefault="001413DE" w:rsidP="00610F28">
            <w:pPr>
              <w:rPr>
                <w:rFonts w:ascii="Calibri" w:hAnsi="Calibri" w:cs="Calibri"/>
              </w:rPr>
            </w:pPr>
            <w:r w:rsidRPr="001413DE">
              <w:rPr>
                <w:rFonts w:ascii="Calibri" w:hAnsi="Calibri" w:cs="Calibri"/>
              </w:rPr>
              <w:t>Central purchasing bodies and procurement service providers</w:t>
            </w:r>
            <w:r>
              <w:rPr>
                <w:rFonts w:ascii="Calibri" w:hAnsi="Calibri" w:cs="Calibri"/>
              </w:rPr>
              <w:t xml:space="preserve"> (Articles 2(1)(16)-(17) and 37).</w:t>
            </w: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4BB168E9" w14:textId="77777777" w:rsidR="00C66EE0" w:rsidRDefault="00F40EEF" w:rsidP="00610F28">
            <w:pPr>
              <w:rPr>
                <w:rFonts w:ascii="Calibri" w:hAnsi="Calibri" w:cs="Calibri"/>
              </w:rPr>
            </w:pPr>
            <w:r>
              <w:rPr>
                <w:rFonts w:ascii="Calibri" w:hAnsi="Calibri" w:cs="Calibri"/>
              </w:rPr>
              <w:t>D</w:t>
            </w:r>
            <w:r w:rsidRPr="00F40EEF">
              <w:rPr>
                <w:rFonts w:ascii="Calibri" w:hAnsi="Calibri" w:cs="Calibri"/>
              </w:rPr>
              <w:t>uties and obligations under Directive 2014/24/EU vary significantly across targeted entities, depending on whether the entity acts as a contracting authority (subject to procurement rules) or as an economic operator (i.e. a bidder or tenderer).</w:t>
            </w:r>
          </w:p>
          <w:p w14:paraId="07AFDE56" w14:textId="77777777" w:rsidR="00C61626" w:rsidRDefault="00894D8E" w:rsidP="00610F28">
            <w:pPr>
              <w:rPr>
                <w:rFonts w:ascii="Calibri" w:hAnsi="Calibri" w:cs="Calibri"/>
              </w:rPr>
            </w:pPr>
            <w:r>
              <w:rPr>
                <w:rFonts w:ascii="Calibri" w:hAnsi="Calibri" w:cs="Calibri"/>
              </w:rPr>
              <w:t xml:space="preserve">- </w:t>
            </w:r>
            <w:r w:rsidRPr="00894D8E">
              <w:rPr>
                <w:rFonts w:ascii="Calibri" w:hAnsi="Calibri" w:cs="Calibri"/>
              </w:rPr>
              <w:t>Contracting authorities</w:t>
            </w:r>
            <w:r>
              <w:rPr>
                <w:rFonts w:ascii="Calibri" w:hAnsi="Calibri" w:cs="Calibri"/>
              </w:rPr>
              <w:t xml:space="preserve"> </w:t>
            </w:r>
            <w:r w:rsidRPr="00894D8E">
              <w:rPr>
                <w:rFonts w:ascii="Calibri" w:hAnsi="Calibri" w:cs="Calibri"/>
              </w:rPr>
              <w:t>are mandatorily subject to the full set of procedural and substantive rules in the Directive.</w:t>
            </w:r>
            <w:r>
              <w:t xml:space="preserve"> </w:t>
            </w:r>
            <w:r w:rsidRPr="00894D8E">
              <w:rPr>
                <w:rFonts w:ascii="Calibri" w:hAnsi="Calibri" w:cs="Calibri"/>
              </w:rPr>
              <w:t>Their obligations include transparent tendering, non-discrimination, publication of notices, application of award criteria (e.g. environmental or social), and contract reporting.</w:t>
            </w:r>
          </w:p>
          <w:p w14:paraId="762622EA" w14:textId="77777777" w:rsidR="00894D8E" w:rsidRDefault="00894D8E" w:rsidP="00610F28">
            <w:pPr>
              <w:rPr>
                <w:rFonts w:ascii="Calibri" w:hAnsi="Calibri" w:cs="Calibri"/>
              </w:rPr>
            </w:pPr>
            <w:r>
              <w:rPr>
                <w:rFonts w:ascii="Calibri" w:hAnsi="Calibri" w:cs="Calibri"/>
              </w:rPr>
              <w:t>- P</w:t>
            </w:r>
            <w:r w:rsidRPr="00894D8E">
              <w:rPr>
                <w:rFonts w:ascii="Calibri" w:hAnsi="Calibri" w:cs="Calibri"/>
              </w:rPr>
              <w:t>rivate entities such as companies, banks, insurance firms and SMEs</w:t>
            </w:r>
            <w:r>
              <w:rPr>
                <w:rFonts w:ascii="Calibri" w:hAnsi="Calibri" w:cs="Calibri"/>
              </w:rPr>
              <w:t>,</w:t>
            </w:r>
            <w:r w:rsidRPr="00894D8E">
              <w:rPr>
                <w:rFonts w:ascii="Calibri" w:hAnsi="Calibri" w:cs="Calibri"/>
              </w:rPr>
              <w:t xml:space="preserve"> are not regulated as buyers, but they are targeted as economic operators. Their obligations are limited to complying with procedural requirements when submitting tenders and performing contracts. They must also comply with environmental, labour, and social obligations in contract execution (Article 18(2)).</w:t>
            </w:r>
          </w:p>
          <w:p w14:paraId="50463FB0" w14:textId="77777777" w:rsidR="00894D8E" w:rsidRDefault="00272BDD" w:rsidP="00610F28">
            <w:pPr>
              <w:rPr>
                <w:rFonts w:ascii="Calibri" w:hAnsi="Calibri" w:cs="Calibri"/>
              </w:rPr>
            </w:pPr>
            <w:r w:rsidRPr="00272BDD">
              <w:rPr>
                <w:rFonts w:ascii="Calibri" w:hAnsi="Calibri" w:cs="Calibri"/>
              </w:rPr>
              <w:t>Additionally, certain sectors are treated differently:</w:t>
            </w:r>
            <w:r>
              <w:rPr>
                <w:rFonts w:ascii="Calibri" w:hAnsi="Calibri" w:cs="Calibri"/>
              </w:rPr>
              <w:t xml:space="preserve"> </w:t>
            </w:r>
          </w:p>
          <w:p w14:paraId="0D538665" w14:textId="77777777" w:rsidR="00272BDD" w:rsidRDefault="00272BDD" w:rsidP="00610F28">
            <w:pPr>
              <w:rPr>
                <w:rFonts w:ascii="Calibri" w:hAnsi="Calibri" w:cs="Calibri"/>
              </w:rPr>
            </w:pPr>
            <w:r>
              <w:rPr>
                <w:rFonts w:ascii="Calibri" w:hAnsi="Calibri" w:cs="Calibri"/>
              </w:rPr>
              <w:t xml:space="preserve">- </w:t>
            </w:r>
            <w:r w:rsidRPr="00272BDD">
              <w:rPr>
                <w:rFonts w:ascii="Calibri" w:hAnsi="Calibri" w:cs="Calibri"/>
              </w:rPr>
              <w:t>Social and specific services (e.g. education, health, social work) are subject to a light regime</w:t>
            </w:r>
            <w:r>
              <w:rPr>
                <w:rFonts w:ascii="Calibri" w:hAnsi="Calibri" w:cs="Calibri"/>
              </w:rPr>
              <w:t xml:space="preserve"> (Articles 74-77 and Annex XIV);</w:t>
            </w:r>
          </w:p>
          <w:p w14:paraId="754551D9" w14:textId="77777777" w:rsidR="00272BDD" w:rsidRDefault="00272BDD" w:rsidP="00610F28">
            <w:pPr>
              <w:rPr>
                <w:rFonts w:ascii="Calibri" w:hAnsi="Calibri" w:cs="Calibri"/>
              </w:rPr>
            </w:pPr>
            <w:r>
              <w:rPr>
                <w:rFonts w:ascii="Calibri" w:hAnsi="Calibri" w:cs="Calibri"/>
              </w:rPr>
              <w:t xml:space="preserve">- </w:t>
            </w:r>
            <w:r w:rsidRPr="00272BDD">
              <w:rPr>
                <w:rFonts w:ascii="Calibri" w:hAnsi="Calibri" w:cs="Calibri"/>
              </w:rPr>
              <w:t xml:space="preserve">Legal, financial, and audiovisual services are excluded or partly excluded </w:t>
            </w:r>
            <w:r>
              <w:rPr>
                <w:rFonts w:ascii="Calibri" w:hAnsi="Calibri" w:cs="Calibri"/>
              </w:rPr>
              <w:t>(</w:t>
            </w:r>
            <w:r w:rsidRPr="00272BDD">
              <w:rPr>
                <w:rFonts w:ascii="Calibri" w:hAnsi="Calibri" w:cs="Calibri"/>
              </w:rPr>
              <w:t>Article 10</w:t>
            </w:r>
            <w:r>
              <w:rPr>
                <w:rFonts w:ascii="Calibri" w:hAnsi="Calibri" w:cs="Calibri"/>
              </w:rPr>
              <w:t>);</w:t>
            </w:r>
          </w:p>
          <w:p w14:paraId="5D90B9C5" w14:textId="258D1A7E" w:rsidR="00272BDD" w:rsidRPr="00610F28" w:rsidRDefault="004B0E84" w:rsidP="00610F28">
            <w:pPr>
              <w:rPr>
                <w:rFonts w:ascii="Calibri" w:hAnsi="Calibri" w:cs="Calibri"/>
              </w:rPr>
            </w:pPr>
            <w:r>
              <w:rPr>
                <w:rFonts w:ascii="Calibri" w:hAnsi="Calibri" w:cs="Calibri"/>
              </w:rPr>
              <w:t xml:space="preserve">- </w:t>
            </w:r>
            <w:proofErr w:type="spellStart"/>
            <w:r w:rsidRPr="004B0E84">
              <w:rPr>
                <w:rFonts w:ascii="Calibri" w:hAnsi="Calibri" w:cs="Calibri"/>
              </w:rPr>
              <w:t>Defense</w:t>
            </w:r>
            <w:proofErr w:type="spellEnd"/>
            <w:r w:rsidRPr="004B0E84">
              <w:rPr>
                <w:rFonts w:ascii="Calibri" w:hAnsi="Calibri" w:cs="Calibri"/>
              </w:rPr>
              <w:t xml:space="preserve"> and utilities sectors are regulated primarily by other </w:t>
            </w:r>
            <w:r>
              <w:rPr>
                <w:rFonts w:ascii="Calibri" w:hAnsi="Calibri" w:cs="Calibri"/>
              </w:rPr>
              <w:t>D</w:t>
            </w:r>
            <w:r w:rsidRPr="004B0E84">
              <w:rPr>
                <w:rFonts w:ascii="Calibri" w:hAnsi="Calibri" w:cs="Calibri"/>
              </w:rPr>
              <w:t>irectives (2014/25/EU and 2009/81/EC), though cross-referenced in Articles 7</w:t>
            </w:r>
            <w:r>
              <w:rPr>
                <w:rFonts w:ascii="Calibri" w:hAnsi="Calibri" w:cs="Calibri"/>
              </w:rPr>
              <w:t xml:space="preserve"> and</w:t>
            </w:r>
            <w:r w:rsidRPr="004B0E84">
              <w:rPr>
                <w:rFonts w:ascii="Calibri" w:hAnsi="Calibri" w:cs="Calibri"/>
              </w:rPr>
              <w:t xml:space="preserve"> 15</w:t>
            </w:r>
            <w:r>
              <w:rPr>
                <w:rFonts w:ascii="Calibri" w:hAnsi="Calibri" w:cs="Calibri"/>
              </w:rPr>
              <w:t>-</w:t>
            </w:r>
            <w:r w:rsidRPr="004B0E84">
              <w:rPr>
                <w:rFonts w:ascii="Calibri" w:hAnsi="Calibri" w:cs="Calibri"/>
              </w:rPr>
              <w:t>17.</w:t>
            </w: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6840C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605CD898" w14:textId="77777777" w:rsidR="00C66EE0" w:rsidRDefault="001E3805" w:rsidP="00610F28">
            <w:pPr>
              <w:rPr>
                <w:rFonts w:ascii="Calibri" w:hAnsi="Calibri" w:cs="Calibri"/>
              </w:rPr>
            </w:pPr>
            <w:r w:rsidRPr="001E3805">
              <w:rPr>
                <w:rFonts w:ascii="Calibri" w:hAnsi="Calibri" w:cs="Calibri"/>
              </w:rPr>
              <w:t>According to Article 4, the Directive applies to public contracts with an estimated value (net of VAT) equal to or exceeding the following thresholds (as revised most recently by Commission Delegated Regulation (EU) 2023/2495, in force since 1 January 2024):</w:t>
            </w:r>
          </w:p>
          <w:p w14:paraId="046658DA" w14:textId="77777777" w:rsidR="001E3805" w:rsidRDefault="001E3805" w:rsidP="00610F28">
            <w:pPr>
              <w:rPr>
                <w:rFonts w:ascii="Calibri" w:hAnsi="Calibri" w:cs="Calibri"/>
              </w:rPr>
            </w:pPr>
            <w:r>
              <w:rPr>
                <w:rFonts w:ascii="Calibri" w:hAnsi="Calibri" w:cs="Calibri"/>
              </w:rPr>
              <w:t xml:space="preserve">- </w:t>
            </w:r>
            <w:r w:rsidR="00CB5DA4" w:rsidRPr="00CB5DA4">
              <w:rPr>
                <w:rFonts w:ascii="Calibri" w:hAnsi="Calibri" w:cs="Calibri"/>
              </w:rPr>
              <w:t>EUR 5,538,000</w:t>
            </w:r>
            <w:r w:rsidR="00CB5DA4">
              <w:rPr>
                <w:rFonts w:ascii="Calibri" w:hAnsi="Calibri" w:cs="Calibri"/>
              </w:rPr>
              <w:t xml:space="preserve">, </w:t>
            </w:r>
            <w:r w:rsidR="00CB5DA4" w:rsidRPr="00CB5DA4">
              <w:rPr>
                <w:rFonts w:ascii="Calibri" w:hAnsi="Calibri" w:cs="Calibri"/>
              </w:rPr>
              <w:t>for public works contracts</w:t>
            </w:r>
            <w:r w:rsidR="00CB5DA4">
              <w:rPr>
                <w:rFonts w:ascii="Calibri" w:hAnsi="Calibri" w:cs="Calibri"/>
              </w:rPr>
              <w:t>;</w:t>
            </w:r>
          </w:p>
          <w:p w14:paraId="0D7912C6" w14:textId="77777777" w:rsidR="00CB5DA4" w:rsidRDefault="00CB5DA4" w:rsidP="00610F28">
            <w:pPr>
              <w:rPr>
                <w:rFonts w:ascii="Calibri" w:hAnsi="Calibri" w:cs="Calibri"/>
              </w:rPr>
            </w:pPr>
            <w:r>
              <w:rPr>
                <w:rFonts w:ascii="Calibri" w:hAnsi="Calibri" w:cs="Calibri"/>
              </w:rPr>
              <w:t>- E</w:t>
            </w:r>
            <w:r w:rsidRPr="00CB5DA4">
              <w:rPr>
                <w:rFonts w:ascii="Calibri" w:hAnsi="Calibri" w:cs="Calibri"/>
              </w:rPr>
              <w:t>UR 143,000</w:t>
            </w:r>
            <w:r>
              <w:rPr>
                <w:rFonts w:ascii="Calibri" w:hAnsi="Calibri" w:cs="Calibri"/>
              </w:rPr>
              <w:t>,</w:t>
            </w:r>
            <w:r w:rsidRPr="00CB5DA4">
              <w:rPr>
                <w:rFonts w:ascii="Calibri" w:hAnsi="Calibri" w:cs="Calibri"/>
              </w:rPr>
              <w:t xml:space="preserve"> for public supply and service contracts awarded by central government authorities</w:t>
            </w:r>
            <w:r>
              <w:rPr>
                <w:rFonts w:ascii="Calibri" w:hAnsi="Calibri" w:cs="Calibri"/>
              </w:rPr>
              <w:t>;</w:t>
            </w:r>
          </w:p>
          <w:p w14:paraId="74B47810" w14:textId="676E9411" w:rsidR="00CB5DA4" w:rsidRPr="00610F28" w:rsidRDefault="00CB5DA4" w:rsidP="00610F28">
            <w:pPr>
              <w:rPr>
                <w:rFonts w:ascii="Calibri" w:hAnsi="Calibri" w:cs="Calibri"/>
              </w:rPr>
            </w:pPr>
            <w:r>
              <w:rPr>
                <w:rFonts w:ascii="Calibri" w:hAnsi="Calibri" w:cs="Calibri"/>
              </w:rPr>
              <w:t xml:space="preserve">- </w:t>
            </w:r>
            <w:r w:rsidRPr="00CB5DA4">
              <w:rPr>
                <w:rFonts w:ascii="Calibri" w:hAnsi="Calibri" w:cs="Calibri"/>
              </w:rPr>
              <w:t>EUR 221,000</w:t>
            </w:r>
            <w:r>
              <w:rPr>
                <w:rFonts w:ascii="Calibri" w:hAnsi="Calibri" w:cs="Calibri"/>
              </w:rPr>
              <w:t>,</w:t>
            </w:r>
            <w:r w:rsidRPr="00CB5DA4">
              <w:rPr>
                <w:rFonts w:ascii="Calibri" w:hAnsi="Calibri" w:cs="Calibri"/>
              </w:rPr>
              <w:t xml:space="preserve"> for public supply and service contracts awarded by sub-central authorities</w:t>
            </w:r>
            <w:r>
              <w:rPr>
                <w:rFonts w:ascii="Calibri" w:hAnsi="Calibri" w:cs="Calibri"/>
              </w:rPr>
              <w:t>;</w:t>
            </w: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53CA7FF5" w:rsidR="00C66EE0" w:rsidRPr="00610F28" w:rsidRDefault="00CB5DA4" w:rsidP="00610F28">
            <w:pPr>
              <w:rPr>
                <w:rFonts w:ascii="Calibri" w:hAnsi="Calibri" w:cs="Calibri"/>
              </w:rPr>
            </w:pPr>
            <w:r>
              <w:rPr>
                <w:rFonts w:ascii="Calibri" w:hAnsi="Calibri" w:cs="Calibri"/>
              </w:rPr>
              <w:t xml:space="preserve">- </w:t>
            </w:r>
            <w:r w:rsidRPr="00CB5DA4">
              <w:rPr>
                <w:rFonts w:ascii="Calibri" w:hAnsi="Calibri" w:cs="Calibri"/>
              </w:rPr>
              <w:t>EUR 750,000</w:t>
            </w:r>
            <w:r>
              <w:rPr>
                <w:rFonts w:ascii="Calibri" w:hAnsi="Calibri" w:cs="Calibri"/>
              </w:rPr>
              <w:t xml:space="preserve">, </w:t>
            </w:r>
            <w:r w:rsidRPr="00CB5DA4">
              <w:rPr>
                <w:rFonts w:ascii="Calibri" w:hAnsi="Calibri" w:cs="Calibri"/>
              </w:rPr>
              <w:t>for social and other specific services listed in Annex XIV</w:t>
            </w:r>
            <w:r>
              <w:rPr>
                <w:rFonts w:ascii="Calibri" w:hAnsi="Calibri" w:cs="Calibri"/>
              </w:rPr>
              <w:t>.</w:t>
            </w: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601A8D2B" w:rsidR="00C66EE0" w:rsidRPr="00610F28" w:rsidRDefault="00A151BF" w:rsidP="00610F28">
            <w:pPr>
              <w:rPr>
                <w:rFonts w:ascii="Calibri" w:hAnsi="Calibri" w:cs="Calibri"/>
              </w:rPr>
            </w:pPr>
            <w:r>
              <w:rPr>
                <w:rFonts w:ascii="Calibri" w:hAnsi="Calibri" w:cs="Calibri"/>
              </w:rPr>
              <w:t>X</w:t>
            </w: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1AD0ABA4"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19CAD657" w:rsidR="00C66EE0" w:rsidRPr="00610F28" w:rsidRDefault="00D5687F" w:rsidP="00610F28">
            <w:pPr>
              <w:rPr>
                <w:rFonts w:ascii="Calibri" w:hAnsi="Calibri" w:cs="Calibri"/>
              </w:rPr>
            </w:pPr>
            <w:r>
              <w:rPr>
                <w:rFonts w:ascii="Calibri" w:hAnsi="Calibri" w:cs="Calibri"/>
              </w:rPr>
              <w:t>X</w:t>
            </w: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4E0939E9" w:rsidR="00C66EE0" w:rsidRPr="00610F28" w:rsidRDefault="00A151BF" w:rsidP="00610F28">
            <w:pPr>
              <w:rPr>
                <w:rFonts w:ascii="Calibri" w:hAnsi="Calibri" w:cs="Calibri"/>
              </w:rPr>
            </w:pPr>
            <w:r>
              <w:rPr>
                <w:rFonts w:ascii="Calibri" w:hAnsi="Calibri" w:cs="Calibri"/>
              </w:rPr>
              <w:t>X</w:t>
            </w: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6334D6E3"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1A278FE5"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7D7F669A" w14:textId="54589F8D" w:rsidR="00D5687F" w:rsidRDefault="00D5687F" w:rsidP="00A45A66">
            <w:pPr>
              <w:rPr>
                <w:rFonts w:ascii="Calibri" w:hAnsi="Calibri" w:cs="Calibri"/>
              </w:rPr>
            </w:pPr>
            <w:r>
              <w:rPr>
                <w:rFonts w:ascii="Calibri" w:hAnsi="Calibri" w:cs="Calibri"/>
              </w:rPr>
              <w:t xml:space="preserve">- </w:t>
            </w:r>
            <w:r w:rsidRPr="00D5687F">
              <w:rPr>
                <w:rFonts w:ascii="Calibri" w:hAnsi="Calibri" w:cs="Calibri"/>
              </w:rPr>
              <w:t>Voiding or setting aside of contract</w:t>
            </w:r>
            <w:r w:rsidR="00C7026C">
              <w:rPr>
                <w:rFonts w:ascii="Calibri" w:hAnsi="Calibri" w:cs="Calibri"/>
              </w:rPr>
              <w:t xml:space="preserve"> (Article 73)</w:t>
            </w:r>
          </w:p>
          <w:p w14:paraId="5465077D" w14:textId="18A2909B" w:rsidR="00D5687F" w:rsidRDefault="002624CD" w:rsidP="00A45A66">
            <w:pPr>
              <w:rPr>
                <w:rFonts w:ascii="Calibri" w:hAnsi="Calibri" w:cs="Calibri"/>
              </w:rPr>
            </w:pPr>
            <w:r w:rsidRPr="002624CD">
              <w:rPr>
                <w:rFonts w:ascii="Calibri" w:hAnsi="Calibri" w:cs="Calibri"/>
              </w:rPr>
              <w:t>Contracting authorities must be able to terminate a contract during its term if</w:t>
            </w:r>
            <w:r>
              <w:rPr>
                <w:rFonts w:ascii="Calibri" w:hAnsi="Calibri" w:cs="Calibri"/>
              </w:rPr>
              <w:t>: t</w:t>
            </w:r>
            <w:r w:rsidRPr="002624CD">
              <w:rPr>
                <w:rFonts w:ascii="Calibri" w:hAnsi="Calibri" w:cs="Calibri"/>
              </w:rPr>
              <w:t>here are substantial modifications without a new procurement procedure (Art</w:t>
            </w:r>
            <w:r>
              <w:rPr>
                <w:rFonts w:ascii="Calibri" w:hAnsi="Calibri" w:cs="Calibri"/>
              </w:rPr>
              <w:t xml:space="preserve">icle </w:t>
            </w:r>
            <w:r w:rsidRPr="002624CD">
              <w:rPr>
                <w:rFonts w:ascii="Calibri" w:hAnsi="Calibri" w:cs="Calibri"/>
              </w:rPr>
              <w:t>72)</w:t>
            </w:r>
            <w:r>
              <w:rPr>
                <w:rFonts w:ascii="Calibri" w:hAnsi="Calibri" w:cs="Calibri"/>
              </w:rPr>
              <w:t>; t</w:t>
            </w:r>
            <w:r w:rsidRPr="002624CD">
              <w:rPr>
                <w:rFonts w:ascii="Calibri" w:hAnsi="Calibri" w:cs="Calibri"/>
              </w:rPr>
              <w:t xml:space="preserve">he contractor </w:t>
            </w:r>
            <w:r w:rsidRPr="002624CD">
              <w:rPr>
                <w:rFonts w:ascii="Calibri" w:hAnsi="Calibri" w:cs="Calibri"/>
              </w:rPr>
              <w:lastRenderedPageBreak/>
              <w:t>should have been excluded under Art</w:t>
            </w:r>
            <w:r>
              <w:rPr>
                <w:rFonts w:ascii="Calibri" w:hAnsi="Calibri" w:cs="Calibri"/>
              </w:rPr>
              <w:t xml:space="preserve">icle </w:t>
            </w:r>
            <w:r w:rsidRPr="002624CD">
              <w:rPr>
                <w:rFonts w:ascii="Calibri" w:hAnsi="Calibri" w:cs="Calibri"/>
              </w:rPr>
              <w:t>57</w:t>
            </w:r>
            <w:r>
              <w:rPr>
                <w:rFonts w:ascii="Calibri" w:hAnsi="Calibri" w:cs="Calibri"/>
              </w:rPr>
              <w:t xml:space="preserve">; </w:t>
            </w:r>
            <w:r w:rsidR="00C7026C">
              <w:rPr>
                <w:rFonts w:ascii="Calibri" w:hAnsi="Calibri" w:cs="Calibri"/>
              </w:rPr>
              <w:t>t</w:t>
            </w:r>
            <w:r w:rsidR="00C7026C" w:rsidRPr="00C7026C">
              <w:rPr>
                <w:rFonts w:ascii="Calibri" w:hAnsi="Calibri" w:cs="Calibri"/>
              </w:rPr>
              <w:t>he contract should not have been awarded due to serious infringement of the Treaties or the Directive.</w:t>
            </w:r>
          </w:p>
          <w:p w14:paraId="5D09F985" w14:textId="10969FDC" w:rsidR="00E52B6E" w:rsidRDefault="00E52B6E" w:rsidP="00A45A66">
            <w:pPr>
              <w:rPr>
                <w:rFonts w:ascii="Calibri" w:hAnsi="Calibri" w:cs="Calibri"/>
              </w:rPr>
            </w:pPr>
            <w:r>
              <w:rPr>
                <w:rFonts w:ascii="Calibri" w:hAnsi="Calibri" w:cs="Calibri"/>
              </w:rPr>
              <w:t>- Exclusion from government contracts</w:t>
            </w:r>
          </w:p>
          <w:p w14:paraId="415B2087" w14:textId="585A4575" w:rsidR="006F4C58" w:rsidRPr="00610F28" w:rsidRDefault="006E37C9" w:rsidP="00610F28">
            <w:pPr>
              <w:rPr>
                <w:rFonts w:ascii="Calibri" w:hAnsi="Calibri" w:cs="Calibri"/>
              </w:rPr>
            </w:pPr>
            <w:r>
              <w:rPr>
                <w:rFonts w:ascii="Calibri" w:hAnsi="Calibri" w:cs="Calibri"/>
              </w:rPr>
              <w:t>The only sanction expressly provided in Directive 2014/24/UE is the exclusion from government contracts. Article 57(4)(h)</w:t>
            </w:r>
            <w:r w:rsidR="00AA7997">
              <w:rPr>
                <w:rFonts w:ascii="Calibri" w:hAnsi="Calibri" w:cs="Calibri"/>
              </w:rPr>
              <w:t xml:space="preserve"> states that </w:t>
            </w:r>
            <w:r w:rsidR="00A45A66">
              <w:rPr>
                <w:rFonts w:ascii="Calibri" w:hAnsi="Calibri" w:cs="Calibri"/>
              </w:rPr>
              <w:t>a</w:t>
            </w:r>
            <w:r w:rsidR="00A45A66" w:rsidRPr="00A45A66">
              <w:rPr>
                <w:rFonts w:ascii="Calibri" w:hAnsi="Calibri" w:cs="Calibri"/>
              </w:rPr>
              <w:t xml:space="preserve">n economic operator may be excluded from participation in a procurement procedure where </w:t>
            </w:r>
            <w:r w:rsidR="00E12EB5">
              <w:rPr>
                <w:rFonts w:ascii="Calibri" w:hAnsi="Calibri" w:cs="Calibri"/>
              </w:rPr>
              <w:t>it</w:t>
            </w:r>
            <w:r w:rsidR="00A45A66" w:rsidRPr="00A45A66">
              <w:rPr>
                <w:rFonts w:ascii="Calibri" w:hAnsi="Calibri" w:cs="Calibri"/>
              </w:rPr>
              <w:t xml:space="preserve"> has been guilty of serious misrepresentation in supplying the information required for the verification of the absence of grounds for exclusion or the fulfilment of the selection criteria, has withheld such information</w:t>
            </w:r>
            <w:r w:rsidR="00E12EB5">
              <w:rPr>
                <w:rFonts w:ascii="Calibri" w:hAnsi="Calibri" w:cs="Calibri"/>
              </w:rPr>
              <w:t>,</w:t>
            </w:r>
            <w:r w:rsidR="00A45A66" w:rsidRPr="00A45A66">
              <w:rPr>
                <w:rFonts w:ascii="Calibri" w:hAnsi="Calibri" w:cs="Calibri"/>
              </w:rPr>
              <w:t xml:space="preserve"> or is not able to submit the supporting documents required pursuant to Article 59</w:t>
            </w:r>
            <w:r w:rsidR="00A45A66">
              <w:rPr>
                <w:rFonts w:ascii="Calibri" w:hAnsi="Calibri" w:cs="Calibri"/>
              </w:rPr>
              <w:t>.</w:t>
            </w:r>
            <w:r w:rsidR="00E12EB5">
              <w:rPr>
                <w:rFonts w:ascii="Calibri" w:hAnsi="Calibri" w:cs="Calibri"/>
              </w:rPr>
              <w:t xml:space="preserve"> </w:t>
            </w:r>
            <w:r w:rsidR="00E12EB5" w:rsidRPr="00E12EB5">
              <w:rPr>
                <w:rFonts w:ascii="Calibri" w:hAnsi="Calibri" w:cs="Calibri"/>
              </w:rPr>
              <w:t>This provision targets non-compliance related to the provision of false or incomplete information in the context of exclusion and selection criteria.</w:t>
            </w: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lastRenderedPageBreak/>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098A1135" w:rsidR="00C66EE0" w:rsidRPr="00610F28" w:rsidRDefault="002200DC" w:rsidP="00610F28">
            <w:pPr>
              <w:rPr>
                <w:rFonts w:ascii="Calibri" w:hAnsi="Calibri" w:cs="Calibri"/>
              </w:rPr>
            </w:pPr>
            <w:r>
              <w:rPr>
                <w:rFonts w:ascii="Calibri" w:hAnsi="Calibri" w:cs="Calibri"/>
              </w:rPr>
              <w:t>X</w:t>
            </w: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5085E6D2" w14:textId="77777777" w:rsidR="00C864FB" w:rsidRDefault="003B2BB9" w:rsidP="00610F28">
            <w:pPr>
              <w:rPr>
                <w:rFonts w:ascii="Calibri" w:hAnsi="Calibri" w:cs="Calibri"/>
              </w:rPr>
            </w:pPr>
            <w:r w:rsidRPr="003B2BB9">
              <w:rPr>
                <w:rFonts w:ascii="Calibri" w:hAnsi="Calibri" w:cs="Calibri"/>
              </w:rPr>
              <w:t>Directive 2014/24/EU has been actively enforced via the CJEU’s judgment in Case C</w:t>
            </w:r>
            <w:r w:rsidRPr="003B2BB9">
              <w:rPr>
                <w:rFonts w:ascii="Cambria Math" w:hAnsi="Cambria Math" w:cs="Cambria Math"/>
              </w:rPr>
              <w:t>‑</w:t>
            </w:r>
            <w:r w:rsidRPr="003B2BB9">
              <w:rPr>
                <w:rFonts w:ascii="Calibri" w:hAnsi="Calibri" w:cs="Calibri"/>
              </w:rPr>
              <w:t xml:space="preserve">601/21, Commission v Poland. This is a judgment under Article 258 TFEU, following infringement proceedings brought by the European Commission. </w:t>
            </w:r>
          </w:p>
          <w:p w14:paraId="3EEAA545" w14:textId="77777777" w:rsidR="00C864FB" w:rsidRDefault="003B2BB9" w:rsidP="00610F28">
            <w:pPr>
              <w:rPr>
                <w:rFonts w:ascii="Calibri" w:hAnsi="Calibri" w:cs="Calibri"/>
              </w:rPr>
            </w:pPr>
            <w:r w:rsidRPr="003B2BB9">
              <w:rPr>
                <w:rFonts w:ascii="Calibri" w:hAnsi="Calibri" w:cs="Calibri"/>
              </w:rPr>
              <w:t xml:space="preserve">The Court found that Poland violated its obligations under Directive 2014/24/EU, specifically Article 15(2) and (3), by systematically excluding certain public contracts from the scope of the Directive without properly applying the conditions for derogation. </w:t>
            </w:r>
          </w:p>
          <w:p w14:paraId="2477BF12" w14:textId="3BF4F1BD" w:rsidR="00C14927" w:rsidRDefault="003B2BB9" w:rsidP="00610F28">
            <w:pPr>
              <w:rPr>
                <w:rFonts w:ascii="Calibri" w:hAnsi="Calibri" w:cs="Calibri"/>
              </w:rPr>
            </w:pPr>
            <w:r w:rsidRPr="003B2BB9">
              <w:rPr>
                <w:rFonts w:ascii="Calibri" w:hAnsi="Calibri" w:cs="Calibri"/>
              </w:rPr>
              <w:lastRenderedPageBreak/>
              <w:t>It also held that Poland could not rely on Article 346(1)(a) TFEU to justify this broad exclusion</w:t>
            </w:r>
            <w:r w:rsidR="002D55D7">
              <w:rPr>
                <w:rFonts w:ascii="Calibri" w:hAnsi="Calibri" w:cs="Calibri"/>
              </w:rPr>
              <w:t>.</w:t>
            </w:r>
          </w:p>
          <w:p w14:paraId="1F5003E6" w14:textId="49509C59" w:rsidR="00C864FB" w:rsidRDefault="00C864FB" w:rsidP="00610F28">
            <w:pPr>
              <w:rPr>
                <w:rFonts w:ascii="Calibri" w:hAnsi="Calibri" w:cs="Calibri"/>
              </w:rPr>
            </w:pPr>
            <w:r w:rsidRPr="00C864FB">
              <w:rPr>
                <w:rFonts w:ascii="Calibri" w:hAnsi="Calibri" w:cs="Calibri"/>
              </w:rPr>
              <w:t>The judgment requires Poland to bring its national law into compliance with the Directive.</w:t>
            </w:r>
          </w:p>
          <w:p w14:paraId="2B2D0494" w14:textId="1953E5F5" w:rsidR="0000029B" w:rsidRPr="00610F28" w:rsidRDefault="0000029B" w:rsidP="00610F28">
            <w:pPr>
              <w:rPr>
                <w:rFonts w:ascii="Calibri" w:hAnsi="Calibri" w:cs="Calibri"/>
              </w:rPr>
            </w:pPr>
            <w:r>
              <w:rPr>
                <w:rFonts w:ascii="Calibri" w:hAnsi="Calibri" w:cs="Calibri"/>
              </w:rPr>
              <w:t xml:space="preserve">Available at: </w:t>
            </w:r>
            <w:hyperlink r:id="rId18" w:history="1">
              <w:r w:rsidR="009B3D96" w:rsidRPr="00DE2308">
                <w:rPr>
                  <w:rStyle w:val="Hyperlink"/>
                  <w:rFonts w:ascii="Calibri" w:hAnsi="Calibri" w:cs="Calibri"/>
                </w:rPr>
                <w:t>https://web.archive.org/web/20240307131230/https://eur-lex.europa.eu/legal-content/EN/TXT/PDF/?uri=CELEX:62021CJ0601</w:t>
              </w:r>
            </w:hyperlink>
            <w:r w:rsidR="009B3D96">
              <w:rPr>
                <w:rFonts w:ascii="Calibri" w:hAnsi="Calibri" w:cs="Calibri"/>
              </w:rPr>
              <w:t xml:space="preserve"> </w:t>
            </w: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lastRenderedPageBreak/>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610EB7F6" w:rsidR="00C66EE0" w:rsidRPr="00610F28" w:rsidRDefault="00AA0C8B" w:rsidP="00610F28">
            <w:pPr>
              <w:rPr>
                <w:rFonts w:ascii="Calibri" w:hAnsi="Calibri" w:cs="Calibri"/>
              </w:rPr>
            </w:pPr>
            <w:r>
              <w:rPr>
                <w:rFonts w:ascii="Calibri" w:hAnsi="Calibri" w:cs="Calibri"/>
              </w:rPr>
              <w:t>X</w:t>
            </w: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24BA25" w14:textId="77777777" w:rsidR="00C2287D" w:rsidRDefault="00C2287D" w:rsidP="00C2287D">
            <w:pPr>
              <w:rPr>
                <w:rFonts w:ascii="Calibri" w:hAnsi="Calibri" w:cs="Calibri"/>
              </w:rPr>
            </w:pPr>
            <w:r w:rsidRPr="00C2287D">
              <w:rPr>
                <w:rFonts w:ascii="Calibri" w:hAnsi="Calibri" w:cs="Calibri"/>
              </w:rPr>
              <w:t>The European Court of Justice’s Grand Chamber judgment of 7 September 2021 in Case C-927/19 addresse</w:t>
            </w:r>
            <w:r>
              <w:rPr>
                <w:rFonts w:ascii="Calibri" w:hAnsi="Calibri" w:cs="Calibri"/>
              </w:rPr>
              <w:t>d</w:t>
            </w:r>
            <w:r w:rsidRPr="00C2287D">
              <w:rPr>
                <w:rFonts w:ascii="Calibri" w:hAnsi="Calibri" w:cs="Calibri"/>
              </w:rPr>
              <w:t xml:space="preserve"> several key aspects of Directive 2014/24/EU, particularly Articles 58(3)</w:t>
            </w:r>
            <w:r>
              <w:rPr>
                <w:rFonts w:ascii="Calibri" w:hAnsi="Calibri" w:cs="Calibri"/>
              </w:rPr>
              <w:t>-</w:t>
            </w:r>
            <w:r w:rsidRPr="00C2287D">
              <w:rPr>
                <w:rFonts w:ascii="Calibri" w:hAnsi="Calibri" w:cs="Calibri"/>
              </w:rPr>
              <w:t>(4) and 60(3)</w:t>
            </w:r>
            <w:r>
              <w:rPr>
                <w:rFonts w:ascii="Calibri" w:hAnsi="Calibri" w:cs="Calibri"/>
              </w:rPr>
              <w:t>-</w:t>
            </w:r>
            <w:r w:rsidRPr="00C2287D">
              <w:rPr>
                <w:rFonts w:ascii="Calibri" w:hAnsi="Calibri" w:cs="Calibri"/>
              </w:rPr>
              <w:t xml:space="preserve">(4), relating to selection criteria and the means of proof in public procurement procedures. </w:t>
            </w:r>
          </w:p>
          <w:p w14:paraId="35D01D4A" w14:textId="77777777" w:rsidR="00C2287D" w:rsidRDefault="00C2287D" w:rsidP="00C2287D">
            <w:pPr>
              <w:rPr>
                <w:rFonts w:ascii="Calibri" w:hAnsi="Calibri" w:cs="Calibri"/>
              </w:rPr>
            </w:pPr>
            <w:r w:rsidRPr="00C2287D">
              <w:rPr>
                <w:rFonts w:ascii="Calibri" w:hAnsi="Calibri" w:cs="Calibri"/>
              </w:rPr>
              <w:t xml:space="preserve">The Court examined whether an economic operator, as the lead member of a consortium, could rely on experience and income from a contract carried out by the consortium as a whole to demonstrate its individual capacity, even if it had not personally performed the relevant services. </w:t>
            </w:r>
          </w:p>
          <w:p w14:paraId="6608F49E" w14:textId="0C0060D9" w:rsidR="00C2287D" w:rsidRPr="00C2287D" w:rsidRDefault="00C2287D" w:rsidP="00C2287D">
            <w:pPr>
              <w:rPr>
                <w:rFonts w:ascii="Calibri" w:hAnsi="Calibri" w:cs="Calibri"/>
              </w:rPr>
            </w:pPr>
            <w:r w:rsidRPr="00C2287D">
              <w:rPr>
                <w:rFonts w:ascii="Calibri" w:hAnsi="Calibri" w:cs="Calibri"/>
              </w:rPr>
              <w:t>The judgment also touched upon optional exclusion grounds under Article 57, the confidentiality of commercially sensitive information and the principle of proportionality.</w:t>
            </w:r>
          </w:p>
          <w:p w14:paraId="600A82EB" w14:textId="77777777" w:rsidR="00C2287D" w:rsidRDefault="00C2287D" w:rsidP="00C2287D">
            <w:pPr>
              <w:rPr>
                <w:rFonts w:ascii="Calibri" w:hAnsi="Calibri" w:cs="Calibri"/>
              </w:rPr>
            </w:pPr>
            <w:r w:rsidRPr="00C2287D">
              <w:rPr>
                <w:rFonts w:ascii="Calibri" w:hAnsi="Calibri" w:cs="Calibri"/>
              </w:rPr>
              <w:t>This ruling confirms that national courts actively rely on EU directives</w:t>
            </w:r>
            <w:r>
              <w:rPr>
                <w:rFonts w:ascii="Calibri" w:hAnsi="Calibri" w:cs="Calibri"/>
              </w:rPr>
              <w:t xml:space="preserve">, </w:t>
            </w:r>
            <w:r w:rsidRPr="00C2287D">
              <w:rPr>
                <w:rFonts w:ascii="Calibri" w:hAnsi="Calibri" w:cs="Calibri"/>
              </w:rPr>
              <w:t>such as Directive 2014/24/E</w:t>
            </w:r>
            <w:r>
              <w:rPr>
                <w:rFonts w:ascii="Calibri" w:hAnsi="Calibri" w:cs="Calibri"/>
              </w:rPr>
              <w:t xml:space="preserve">U, </w:t>
            </w:r>
            <w:r w:rsidRPr="00C2287D">
              <w:rPr>
                <w:rFonts w:ascii="Calibri" w:hAnsi="Calibri" w:cs="Calibri"/>
              </w:rPr>
              <w:t xml:space="preserve">to interpret and apply procurement law in domestic proceedings. </w:t>
            </w:r>
          </w:p>
          <w:p w14:paraId="434C01FD" w14:textId="42B5B7A4" w:rsidR="00AA0C8B" w:rsidRPr="00610F28" w:rsidRDefault="00AA0C8B" w:rsidP="00C2287D">
            <w:pPr>
              <w:rPr>
                <w:rFonts w:ascii="Calibri" w:hAnsi="Calibri" w:cs="Calibri"/>
              </w:rPr>
            </w:pPr>
            <w:r>
              <w:rPr>
                <w:rFonts w:ascii="Calibri" w:hAnsi="Calibri" w:cs="Calibri"/>
              </w:rPr>
              <w:t xml:space="preserve">Available at: </w:t>
            </w:r>
            <w:hyperlink r:id="rId19" w:history="1">
              <w:r w:rsidR="00AA7A9D" w:rsidRPr="00DE2308">
                <w:rPr>
                  <w:rStyle w:val="Hyperlink"/>
                  <w:rFonts w:ascii="Calibri" w:hAnsi="Calibri" w:cs="Calibri"/>
                </w:rPr>
                <w:t>https://web.archive.org/web/20250723112426/https://eur-lex.europa.eu/legal-content/EN/ALL/?uri=CELEX%3A62019CJ0927</w:t>
              </w:r>
            </w:hyperlink>
            <w:r w:rsidR="00AA7A9D">
              <w:rPr>
                <w:rFonts w:ascii="Calibri" w:hAnsi="Calibri" w:cs="Calibri"/>
              </w:rPr>
              <w:t xml:space="preserve"> </w:t>
            </w: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320196D9" w:rsidR="00DF50B5" w:rsidRPr="00610F28" w:rsidRDefault="00025046" w:rsidP="00610F28">
            <w:pPr>
              <w:rPr>
                <w:rFonts w:ascii="Calibri" w:hAnsi="Calibri" w:cs="Calibri"/>
              </w:rPr>
            </w:pPr>
            <w:r>
              <w:rPr>
                <w:rFonts w:ascii="Calibri" w:hAnsi="Calibri" w:cs="Calibri"/>
              </w:rPr>
              <w:t>X</w:t>
            </w: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2E82D7D2" w14:textId="77777777" w:rsidR="00DF50B5" w:rsidRDefault="000F0E71" w:rsidP="00610F28">
            <w:pPr>
              <w:rPr>
                <w:rFonts w:ascii="Calibri" w:hAnsi="Calibri" w:cs="Calibri"/>
              </w:rPr>
            </w:pPr>
            <w:r>
              <w:rPr>
                <w:rFonts w:ascii="Calibri" w:hAnsi="Calibri" w:cs="Calibri"/>
              </w:rPr>
              <w:t xml:space="preserve">- </w:t>
            </w:r>
            <w:r w:rsidR="005945D2">
              <w:rPr>
                <w:rFonts w:ascii="Calibri" w:hAnsi="Calibri" w:cs="Calibri"/>
              </w:rPr>
              <w:t xml:space="preserve">Article 70 </w:t>
            </w:r>
            <w:r w:rsidR="008C1516">
              <w:rPr>
                <w:rFonts w:ascii="Calibri" w:hAnsi="Calibri" w:cs="Calibri"/>
              </w:rPr>
              <w:t xml:space="preserve">allows contracting authorities to lay </w:t>
            </w:r>
            <w:r w:rsidRPr="000F0E71">
              <w:rPr>
                <w:rFonts w:ascii="Calibri" w:hAnsi="Calibri" w:cs="Calibri"/>
              </w:rPr>
              <w:t xml:space="preserve">own special conditions relating to the performance of a contract, </w:t>
            </w:r>
            <w:r w:rsidRPr="000F0E71">
              <w:rPr>
                <w:rFonts w:ascii="Calibri" w:hAnsi="Calibri" w:cs="Calibri"/>
              </w:rPr>
              <w:t>if</w:t>
            </w:r>
            <w:r w:rsidRPr="000F0E71">
              <w:rPr>
                <w:rFonts w:ascii="Calibri" w:hAnsi="Calibri" w:cs="Calibri"/>
              </w:rPr>
              <w:t xml:space="preserve"> they are linked to the subject-matter of the contract</w:t>
            </w:r>
            <w:r>
              <w:rPr>
                <w:rFonts w:ascii="Calibri" w:hAnsi="Calibri" w:cs="Calibri"/>
              </w:rPr>
              <w:t>.</w:t>
            </w:r>
            <w:r>
              <w:t xml:space="preserve"> </w:t>
            </w:r>
            <w:r w:rsidRPr="000F0E71">
              <w:rPr>
                <w:rFonts w:ascii="Calibri" w:hAnsi="Calibri" w:cs="Calibri"/>
              </w:rPr>
              <w:t>Those conditions may include economic, innovation-related, environmental, social or employment-related considerations.</w:t>
            </w:r>
          </w:p>
          <w:p w14:paraId="2990E9EE" w14:textId="2AC187EB" w:rsidR="000F0E71" w:rsidRDefault="000F0E71" w:rsidP="00610F28">
            <w:pPr>
              <w:rPr>
                <w:rFonts w:ascii="Calibri" w:hAnsi="Calibri" w:cs="Calibri"/>
              </w:rPr>
            </w:pPr>
            <w:r>
              <w:rPr>
                <w:rFonts w:ascii="Calibri" w:hAnsi="Calibri" w:cs="Calibri"/>
              </w:rPr>
              <w:t xml:space="preserve">- Recital 47 </w:t>
            </w:r>
            <w:r w:rsidR="00C757CB">
              <w:rPr>
                <w:rFonts w:ascii="Calibri" w:hAnsi="Calibri" w:cs="Calibri"/>
              </w:rPr>
              <w:t>r</w:t>
            </w:r>
            <w:r w:rsidR="00C757CB" w:rsidRPr="00C757CB">
              <w:rPr>
                <w:rFonts w:ascii="Calibri" w:hAnsi="Calibri" w:cs="Calibri"/>
              </w:rPr>
              <w:t>ecommends the use of environmental considerations and highlights climate change mitigation.</w:t>
            </w:r>
          </w:p>
          <w:p w14:paraId="04345F77" w14:textId="27971D32" w:rsidR="002263AE" w:rsidRPr="00610F28" w:rsidRDefault="002263AE" w:rsidP="00610F28">
            <w:pPr>
              <w:rPr>
                <w:rFonts w:ascii="Calibri" w:hAnsi="Calibri" w:cs="Calibri"/>
              </w:rPr>
            </w:pPr>
            <w:r w:rsidRPr="002263AE">
              <w:rPr>
                <w:rFonts w:ascii="Calibri" w:hAnsi="Calibri" w:cs="Calibri"/>
              </w:rPr>
              <w:t>The</w:t>
            </w:r>
            <w:r>
              <w:rPr>
                <w:rFonts w:ascii="Calibri" w:hAnsi="Calibri" w:cs="Calibri"/>
              </w:rPr>
              <w:t xml:space="preserve">se </w:t>
            </w:r>
            <w:r w:rsidRPr="002263AE">
              <w:rPr>
                <w:rFonts w:ascii="Calibri" w:hAnsi="Calibri" w:cs="Calibri"/>
              </w:rPr>
              <w:t xml:space="preserve">provisions </w:t>
            </w:r>
            <w:r w:rsidR="009C189E" w:rsidRPr="009C189E">
              <w:rPr>
                <w:rFonts w:ascii="Calibri" w:hAnsi="Calibri" w:cs="Calibri"/>
              </w:rPr>
              <w:t xml:space="preserve">permit and encourage contracting authorities to align public procurement spending with environmental objectives, including climate change mitigation. However, </w:t>
            </w:r>
            <w:r w:rsidR="00217AEA">
              <w:rPr>
                <w:rFonts w:ascii="Calibri" w:hAnsi="Calibri" w:cs="Calibri"/>
              </w:rPr>
              <w:t>they do not require it.</w:t>
            </w: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7F3A9065" w:rsidR="00DF50B5" w:rsidRPr="00610F28" w:rsidRDefault="00A909A7" w:rsidP="00610F28">
            <w:pPr>
              <w:rPr>
                <w:rFonts w:ascii="Calibri" w:hAnsi="Calibri" w:cs="Calibri"/>
              </w:rPr>
            </w:pPr>
            <w:r>
              <w:rPr>
                <w:rFonts w:ascii="Calibri" w:hAnsi="Calibri" w:cs="Calibri"/>
              </w:rPr>
              <w:t>X</w:t>
            </w: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04C25C0B" w:rsidR="00DF50B5" w:rsidRPr="00610F28" w:rsidRDefault="00A909A7" w:rsidP="00610F28">
            <w:pPr>
              <w:rPr>
                <w:rFonts w:ascii="Calibri" w:hAnsi="Calibri" w:cs="Calibri"/>
              </w:rPr>
            </w:pPr>
            <w:r>
              <w:rPr>
                <w:rFonts w:ascii="Calibri" w:hAnsi="Calibri" w:cs="Calibri"/>
              </w:rPr>
              <w:t>X</w:t>
            </w: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bookmarkStart w:id="18" w:name="OpenAt" w:colFirst="2" w:colLast="2"/>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2F51D475" w:rsidR="00DF50B5" w:rsidRPr="00610F28" w:rsidRDefault="00A909A7" w:rsidP="00610F28">
            <w:pPr>
              <w:rPr>
                <w:rFonts w:ascii="Calibri" w:hAnsi="Calibri" w:cs="Calibri"/>
              </w:rPr>
            </w:pPr>
            <w:r>
              <w:rPr>
                <w:rFonts w:ascii="Calibri" w:hAnsi="Calibri" w:cs="Calibri"/>
              </w:rPr>
              <w:t>X</w:t>
            </w:r>
          </w:p>
        </w:tc>
      </w:tr>
      <w:bookmarkEnd w:id="18"/>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71506AC3" w:rsidR="00DF50B5" w:rsidRPr="00610F28" w:rsidRDefault="00A909A7" w:rsidP="00610F28">
            <w:pPr>
              <w:rPr>
                <w:rFonts w:ascii="Calibri" w:hAnsi="Calibri" w:cs="Calibri"/>
              </w:rPr>
            </w:pPr>
            <w:r>
              <w:rPr>
                <w:rFonts w:ascii="Calibri" w:hAnsi="Calibri" w:cs="Calibri"/>
              </w:rPr>
              <w:t>X</w:t>
            </w: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51CA803" w:rsidR="00DF50B5" w:rsidRPr="00610F28" w:rsidRDefault="00A909A7" w:rsidP="00610F28">
            <w:pPr>
              <w:rPr>
                <w:rFonts w:ascii="Calibri" w:hAnsi="Calibri" w:cs="Calibri"/>
              </w:rPr>
            </w:pPr>
            <w:r>
              <w:rPr>
                <w:rFonts w:ascii="Calibri" w:hAnsi="Calibri" w:cs="Calibri"/>
              </w:rPr>
              <w:t>X</w:t>
            </w: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287D5134" w:rsidR="00DF50B5" w:rsidRPr="00610F28" w:rsidRDefault="00A909A7" w:rsidP="00610F28">
            <w:pPr>
              <w:rPr>
                <w:rFonts w:ascii="Calibri" w:hAnsi="Calibri" w:cs="Calibri"/>
              </w:rPr>
            </w:pPr>
            <w:r>
              <w:rPr>
                <w:rFonts w:ascii="Calibri" w:hAnsi="Calibri" w:cs="Calibri"/>
              </w:rPr>
              <w:t>X</w:t>
            </w: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19D5572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A11027" w:rsidR="00DF50B5" w:rsidRPr="00610F28" w:rsidRDefault="00A909A7" w:rsidP="00610F28">
            <w:pPr>
              <w:rPr>
                <w:rFonts w:ascii="Calibri" w:hAnsi="Calibri" w:cs="Calibri"/>
              </w:rPr>
            </w:pPr>
            <w:r>
              <w:rPr>
                <w:rFonts w:ascii="Calibri" w:hAnsi="Calibri" w:cs="Calibri"/>
              </w:rPr>
              <w:t>X</w:t>
            </w: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lastRenderedPageBreak/>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4A3DEF88" w:rsidR="00DF50B5" w:rsidRPr="00610F28" w:rsidRDefault="00853BBC" w:rsidP="00610F28">
            <w:pPr>
              <w:rPr>
                <w:rFonts w:ascii="Calibri" w:hAnsi="Calibri" w:cs="Calibri"/>
              </w:rPr>
            </w:pPr>
            <w:r>
              <w:rPr>
                <w:rFonts w:ascii="Calibri" w:hAnsi="Calibri" w:cs="Calibri"/>
              </w:rPr>
              <w:t>X</w:t>
            </w: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451B0BD9" w:rsidR="00DF50B5" w:rsidRPr="00610F28" w:rsidRDefault="00853BBC" w:rsidP="00610F28">
            <w:pPr>
              <w:rPr>
                <w:rFonts w:ascii="Calibri" w:hAnsi="Calibri" w:cs="Calibri"/>
              </w:rPr>
            </w:pPr>
            <w:r>
              <w:rPr>
                <w:rFonts w:ascii="Calibri" w:hAnsi="Calibri" w:cs="Calibri"/>
              </w:rPr>
              <w:t>X</w:t>
            </w: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39A25CB3" w:rsidR="00DF50B5" w:rsidRPr="00610F28" w:rsidRDefault="00853BBC" w:rsidP="00610F28">
            <w:pPr>
              <w:rPr>
                <w:rFonts w:ascii="Calibri" w:hAnsi="Calibri" w:cs="Calibri"/>
              </w:rPr>
            </w:pPr>
            <w:r>
              <w:rPr>
                <w:rFonts w:ascii="Calibri" w:hAnsi="Calibri" w:cs="Calibri"/>
              </w:rPr>
              <w:t>X</w:t>
            </w: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4CB02D7" w:rsidR="00DF50B5" w:rsidRPr="00610F28" w:rsidRDefault="00853BBC" w:rsidP="00610F28">
            <w:pPr>
              <w:rPr>
                <w:rFonts w:ascii="Calibri" w:hAnsi="Calibri" w:cs="Calibri"/>
              </w:rPr>
            </w:pPr>
            <w:r>
              <w:rPr>
                <w:rFonts w:ascii="Calibri" w:hAnsi="Calibri" w:cs="Calibri"/>
              </w:rPr>
              <w:t>X</w:t>
            </w: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1B38B458" w:rsidR="00DF50B5" w:rsidRPr="00610F28" w:rsidRDefault="00853BBC" w:rsidP="00610F28">
            <w:pPr>
              <w:rPr>
                <w:rFonts w:ascii="Calibri" w:hAnsi="Calibri" w:cs="Calibri"/>
              </w:rPr>
            </w:pPr>
            <w:r>
              <w:rPr>
                <w:rFonts w:ascii="Calibri" w:hAnsi="Calibri" w:cs="Calibri"/>
              </w:rPr>
              <w:t>X</w:t>
            </w: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696B5D52" w:rsidR="00DF50B5" w:rsidRPr="00610F28" w:rsidRDefault="00853BBC" w:rsidP="00610F28">
            <w:pPr>
              <w:rPr>
                <w:rFonts w:ascii="Calibri" w:hAnsi="Calibri" w:cs="Calibri"/>
              </w:rPr>
            </w:pPr>
            <w:r>
              <w:rPr>
                <w:rFonts w:ascii="Calibri" w:hAnsi="Calibri" w:cs="Calibri"/>
              </w:rPr>
              <w:t>X</w:t>
            </w: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56E80C52" w:rsidR="00DF50B5" w:rsidRPr="00610F28" w:rsidRDefault="00853BBC" w:rsidP="00610F28">
            <w:pPr>
              <w:rPr>
                <w:rFonts w:ascii="Calibri" w:hAnsi="Calibri" w:cs="Calibri"/>
              </w:rPr>
            </w:pPr>
            <w:r>
              <w:rPr>
                <w:rFonts w:ascii="Calibri" w:hAnsi="Calibri" w:cs="Calibri"/>
              </w:rPr>
              <w:t>X</w:t>
            </w: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52165767" w14:textId="03BEB538" w:rsidR="00DF50B5" w:rsidRDefault="00513D57" w:rsidP="00610F28">
            <w:pPr>
              <w:rPr>
                <w:rFonts w:ascii="Calibri" w:hAnsi="Calibri" w:cs="Calibri"/>
              </w:rPr>
            </w:pPr>
            <w:r>
              <w:rPr>
                <w:rFonts w:ascii="Calibri" w:hAnsi="Calibri" w:cs="Calibri"/>
              </w:rPr>
              <w:t>- Article 43, on the use of environmental labels, allows procurement to be linked to verified environmental performance. The use of ecolabels can chape climate-aligned procurement decisions already at the planning stage.</w:t>
            </w:r>
          </w:p>
          <w:p w14:paraId="0386272D" w14:textId="77777777" w:rsidR="00513D57" w:rsidRDefault="00513D57" w:rsidP="00610F28">
            <w:pPr>
              <w:rPr>
                <w:rFonts w:ascii="Calibri" w:hAnsi="Calibri" w:cs="Calibri"/>
              </w:rPr>
            </w:pPr>
            <w:r>
              <w:rPr>
                <w:rFonts w:ascii="Calibri" w:hAnsi="Calibri" w:cs="Calibri"/>
              </w:rPr>
              <w:t xml:space="preserve">- Article 67(2)(a)), </w:t>
            </w:r>
            <w:r w:rsidR="002D4D08">
              <w:rPr>
                <w:rFonts w:ascii="Calibri" w:hAnsi="Calibri" w:cs="Calibri"/>
              </w:rPr>
              <w:t>c</w:t>
            </w:r>
            <w:r w:rsidR="002D4D08" w:rsidRPr="002D4D08">
              <w:rPr>
                <w:rFonts w:ascii="Calibri" w:hAnsi="Calibri" w:cs="Calibri"/>
              </w:rPr>
              <w:t>ontracting authorities are permitted to use climate-related criteria when evaluating tenders.</w:t>
            </w:r>
          </w:p>
          <w:p w14:paraId="082A6ED6" w14:textId="77777777" w:rsidR="002D4D08" w:rsidRDefault="002D4D08" w:rsidP="00610F28">
            <w:pPr>
              <w:rPr>
                <w:rFonts w:ascii="Calibri" w:hAnsi="Calibri" w:cs="Calibri"/>
              </w:rPr>
            </w:pPr>
            <w:r>
              <w:rPr>
                <w:rFonts w:ascii="Calibri" w:hAnsi="Calibri" w:cs="Calibri"/>
              </w:rPr>
              <w:lastRenderedPageBreak/>
              <w:t>- Article 70, on c</w:t>
            </w:r>
            <w:r w:rsidRPr="002D4D08">
              <w:rPr>
                <w:rFonts w:ascii="Calibri" w:hAnsi="Calibri" w:cs="Calibri"/>
              </w:rPr>
              <w:t>onditions for performance of contracts</w:t>
            </w:r>
            <w:r>
              <w:rPr>
                <w:rFonts w:ascii="Calibri" w:hAnsi="Calibri" w:cs="Calibri"/>
              </w:rPr>
              <w:t>, allows</w:t>
            </w:r>
            <w:r w:rsidR="000C6097">
              <w:rPr>
                <w:rFonts w:ascii="Calibri" w:hAnsi="Calibri" w:cs="Calibri"/>
              </w:rPr>
              <w:t xml:space="preserve"> </w:t>
            </w:r>
            <w:r w:rsidR="000C6097" w:rsidRPr="000C6097">
              <w:rPr>
                <w:rFonts w:ascii="Calibri" w:hAnsi="Calibri" w:cs="Calibri"/>
              </w:rPr>
              <w:t>environmental and potentially climate-related performance conditions, which can be decided at the planning stage</w:t>
            </w:r>
            <w:r w:rsidR="000C6097">
              <w:rPr>
                <w:rFonts w:ascii="Calibri" w:hAnsi="Calibri" w:cs="Calibri"/>
              </w:rPr>
              <w:t>.</w:t>
            </w:r>
          </w:p>
          <w:p w14:paraId="02047A08" w14:textId="48EAF0E0" w:rsidR="000C6097" w:rsidRPr="00610F28" w:rsidRDefault="000C6097" w:rsidP="00610F28">
            <w:pPr>
              <w:rPr>
                <w:rFonts w:ascii="Calibri" w:hAnsi="Calibri" w:cs="Calibri"/>
              </w:rPr>
            </w:pPr>
            <w:r>
              <w:rPr>
                <w:rFonts w:ascii="Calibri" w:hAnsi="Calibri" w:cs="Calibri"/>
              </w:rPr>
              <w:t>- Recital 47</w:t>
            </w:r>
            <w:r w:rsidR="00027494">
              <w:t xml:space="preserve"> c</w:t>
            </w:r>
            <w:r w:rsidR="00027494" w:rsidRPr="00027494">
              <w:rPr>
                <w:rFonts w:ascii="Calibri" w:hAnsi="Calibri" w:cs="Calibri"/>
              </w:rPr>
              <w:t>onfirms that climate considerations are envisaged by the Directive</w:t>
            </w:r>
            <w:r w:rsidR="00027494">
              <w:rPr>
                <w:rFonts w:ascii="Calibri" w:hAnsi="Calibri" w:cs="Calibri"/>
              </w:rPr>
              <w:t xml:space="preserve">, </w:t>
            </w:r>
            <w:r w:rsidR="00027494" w:rsidRPr="00027494">
              <w:rPr>
                <w:rFonts w:ascii="Calibri" w:hAnsi="Calibri" w:cs="Calibri"/>
              </w:rPr>
              <w:t>though only as a possibility, not a duty.</w:t>
            </w: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lastRenderedPageBreak/>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w:t>
            </w:r>
            <w:r w:rsidRPr="00610F28">
              <w:rPr>
                <w:rFonts w:ascii="Calibri" w:hAnsi="Calibri" w:cs="Calibri"/>
                <w:lang w:val="en-US"/>
              </w:rPr>
              <w:lastRenderedPageBreak/>
              <w:t xml:space="preserve">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lastRenderedPageBreak/>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9" w:name="_Toc198223615"/>
      <w:r>
        <w:t xml:space="preserve">Section 3.3: </w:t>
      </w:r>
      <w:r w:rsidR="002E5ACB">
        <w:t>Life</w:t>
      </w:r>
      <w:r w:rsidR="00DF4489">
        <w:t>-cycle or Whole-life Costing</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2F9D7336" w:rsidR="00A56BE5" w:rsidRPr="00971C0E" w:rsidRDefault="00DF6CB5"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659A5F3" w:rsidR="00A56BE5" w:rsidRPr="00971C0E" w:rsidRDefault="00DF6CB5"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840321E" w:rsidR="00A56BE5" w:rsidRPr="00971C0E" w:rsidRDefault="00DF6CB5"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4A04B3F1" w14:textId="77777777" w:rsidR="00166C47" w:rsidRDefault="00166C47" w:rsidP="00610F28">
            <w:pPr>
              <w:rPr>
                <w:rStyle w:val="normaltextrun"/>
                <w:rFonts w:cstheme="minorHAnsi"/>
                <w:color w:val="000000"/>
                <w:shd w:val="clear" w:color="auto" w:fill="FFFFFF"/>
                <w:lang w:val="en-US"/>
              </w:rPr>
            </w:pPr>
            <w:r w:rsidRPr="00166C47">
              <w:rPr>
                <w:rStyle w:val="normaltextrun"/>
                <w:rFonts w:cstheme="minorHAnsi"/>
                <w:color w:val="000000"/>
                <w:shd w:val="clear" w:color="auto" w:fill="FFFFFF"/>
                <w:lang w:val="en-US"/>
              </w:rPr>
              <w:t>Directive 2014/24/EU allows contracting authorities to use life-cycle or whole-life costing in procurement procedures, including for capturing climate-related impacts such as greenhouse gas emissions, energy use</w:t>
            </w:r>
            <w:r>
              <w:rPr>
                <w:rStyle w:val="normaltextrun"/>
                <w:rFonts w:cstheme="minorHAnsi"/>
                <w:color w:val="000000"/>
                <w:shd w:val="clear" w:color="auto" w:fill="FFFFFF"/>
                <w:lang w:val="en-US"/>
              </w:rPr>
              <w:t xml:space="preserve"> </w:t>
            </w:r>
            <w:r w:rsidRPr="00166C47">
              <w:rPr>
                <w:rStyle w:val="normaltextrun"/>
                <w:rFonts w:cstheme="minorHAnsi"/>
                <w:color w:val="000000"/>
                <w:shd w:val="clear" w:color="auto" w:fill="FFFFFF"/>
                <w:lang w:val="en-US"/>
              </w:rPr>
              <w:t xml:space="preserve">and end-of-life costs. This is addressed in Article 68(1), which outlines the types of costs that may be considered. </w:t>
            </w:r>
          </w:p>
          <w:p w14:paraId="0FE4EF47" w14:textId="3F1A51B2" w:rsidR="00166C47" w:rsidRDefault="00166C47" w:rsidP="00610F28">
            <w:pPr>
              <w:rPr>
                <w:rStyle w:val="normaltextrun"/>
                <w:rFonts w:cstheme="minorHAnsi"/>
                <w:color w:val="000000"/>
                <w:shd w:val="clear" w:color="auto" w:fill="FFFFFF"/>
                <w:lang w:val="en-US"/>
              </w:rPr>
            </w:pPr>
            <w:r w:rsidRPr="00166C47">
              <w:rPr>
                <w:rStyle w:val="normaltextrun"/>
                <w:rFonts w:cstheme="minorHAnsi"/>
                <w:color w:val="000000"/>
                <w:shd w:val="clear" w:color="auto" w:fill="FFFFFF"/>
                <w:lang w:val="en-US"/>
              </w:rPr>
              <w:t xml:space="preserve">While the use of life-cycle costing is not mandatory, the Directive sets out specific requirements that apply if it is used. According to Article 68(2), authorities must clearly indicate in the procurement documents the data to be provided by tenderers and the calculation method to be applied. </w:t>
            </w:r>
          </w:p>
          <w:p w14:paraId="0B11500B" w14:textId="3ECAEE0E" w:rsidR="00D94180" w:rsidRPr="00971C0E" w:rsidRDefault="00166C47" w:rsidP="00610F28">
            <w:pPr>
              <w:rPr>
                <w:rStyle w:val="normaltextrun"/>
                <w:rFonts w:cstheme="minorHAnsi"/>
                <w:color w:val="000000"/>
                <w:shd w:val="clear" w:color="auto" w:fill="FFFFFF"/>
                <w:lang w:val="en-US"/>
              </w:rPr>
            </w:pPr>
            <w:r w:rsidRPr="00166C47">
              <w:rPr>
                <w:rStyle w:val="normaltextrun"/>
                <w:rFonts w:cstheme="minorHAnsi"/>
                <w:color w:val="000000"/>
                <w:shd w:val="clear" w:color="auto" w:fill="FFFFFF"/>
                <w:lang w:val="en-US"/>
              </w:rPr>
              <w:t>Article 68(3) establishes criteria for assessing environmental externalities, requiring that the method be objective, accessible</w:t>
            </w:r>
            <w:r>
              <w:rPr>
                <w:rStyle w:val="normaltextrun"/>
                <w:rFonts w:cstheme="minorHAnsi"/>
                <w:color w:val="000000"/>
                <w:shd w:val="clear" w:color="auto" w:fill="FFFFFF"/>
                <w:lang w:val="en-US"/>
              </w:rPr>
              <w:t xml:space="preserve"> </w:t>
            </w:r>
            <w:r w:rsidRPr="00166C47">
              <w:rPr>
                <w:rStyle w:val="normaltextrun"/>
                <w:rFonts w:cstheme="minorHAnsi"/>
                <w:color w:val="000000"/>
                <w:shd w:val="clear" w:color="auto" w:fill="FFFFFF"/>
                <w:lang w:val="en-US"/>
              </w:rPr>
              <w:t>and proportionate</w:t>
            </w:r>
            <w:r>
              <w:rPr>
                <w:rStyle w:val="normaltextrun"/>
                <w:rFonts w:cstheme="minorHAnsi"/>
                <w:color w:val="000000"/>
                <w:shd w:val="clear" w:color="auto" w:fill="FFFFFF"/>
                <w:lang w:val="en-US"/>
              </w:rPr>
              <w:t>.</w:t>
            </w:r>
          </w:p>
        </w:tc>
      </w:tr>
    </w:tbl>
    <w:p w14:paraId="55C55B84" w14:textId="77777777" w:rsidR="00062526" w:rsidRDefault="00062526"/>
    <w:p w14:paraId="3F85081E" w14:textId="2C5C789D" w:rsidR="00062526" w:rsidRDefault="005E50FD" w:rsidP="00062526">
      <w:pPr>
        <w:pStyle w:val="Heading2"/>
      </w:pPr>
      <w:bookmarkStart w:id="20" w:name="_Toc198223616"/>
      <w:r>
        <w:t xml:space="preserve">Section 3.4: </w:t>
      </w:r>
      <w:r w:rsidR="00062526">
        <w:t>Tendering or Solicitation Stage</w:t>
      </w:r>
      <w:bookmarkEnd w:id="20"/>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1363F8D3" w:rsidR="008A4685" w:rsidRPr="00610F28" w:rsidRDefault="00BD274B"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1ACAA451" w:rsidR="008A4685" w:rsidRPr="00610F28" w:rsidRDefault="00BD274B"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vAlign w:val="center"/>
          </w:tcPr>
          <w:p w14:paraId="39B2D845" w14:textId="1EEA3A48"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6B0E67D4" w:rsidR="008A4685" w:rsidRPr="00610F28" w:rsidRDefault="00BD274B"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22B216E5" w:rsidR="008A4685" w:rsidRPr="00610F28" w:rsidRDefault="00BD274B"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252511CE" w:rsidR="008A4685" w:rsidRPr="00610F28" w:rsidRDefault="00BD274B"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1A28D1AC" w:rsidR="008A4685" w:rsidRPr="00610F28" w:rsidRDefault="00BD274B"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5CA8560" w14:textId="19C630A4" w:rsidR="00EA7B0F" w:rsidRPr="00EA7B0F" w:rsidRDefault="00EA7B0F" w:rsidP="00EA7B0F">
            <w:pPr>
              <w:rPr>
                <w:rStyle w:val="normaltextrun"/>
                <w:rFonts w:ascii="Calibri" w:hAnsi="Calibri" w:cs="Calibri"/>
                <w:color w:val="000000"/>
                <w:shd w:val="clear" w:color="auto" w:fill="FFFFFF"/>
                <w:lang w:val="en-US"/>
              </w:rPr>
            </w:pPr>
            <w:r w:rsidRPr="00EA7B0F">
              <w:rPr>
                <w:rStyle w:val="normaltextrun"/>
                <w:rFonts w:ascii="Calibri" w:hAnsi="Calibri" w:cs="Calibri"/>
                <w:color w:val="000000"/>
                <w:shd w:val="clear" w:color="auto" w:fill="FFFFFF"/>
                <w:lang w:val="en-US"/>
              </w:rPr>
              <w:t>Directive 2014/24/EU allows contracting authorities to set climate- and environment-related requirements at various stages of the tendering process</w:t>
            </w:r>
            <w:r>
              <w:rPr>
                <w:rStyle w:val="normaltextrun"/>
                <w:rFonts w:ascii="Calibri" w:hAnsi="Calibri" w:cs="Calibri"/>
                <w:color w:val="000000"/>
                <w:shd w:val="clear" w:color="auto" w:fill="FFFFFF"/>
                <w:lang w:val="en-US"/>
              </w:rPr>
              <w:t>,</w:t>
            </w:r>
            <w:r w:rsidRPr="00EA7B0F">
              <w:rPr>
                <w:rStyle w:val="normaltextrun"/>
                <w:rFonts w:ascii="Calibri" w:hAnsi="Calibri" w:cs="Calibri"/>
                <w:color w:val="000000"/>
                <w:shd w:val="clear" w:color="auto" w:fill="FFFFFF"/>
                <w:lang w:val="en-US"/>
              </w:rPr>
              <w:t xml:space="preserve"> including through:</w:t>
            </w:r>
          </w:p>
          <w:p w14:paraId="3502C2CA" w14:textId="44B696DE" w:rsidR="00EA7B0F" w:rsidRDefault="00EA7B0F" w:rsidP="00292B8F">
            <w:pPr>
              <w:pStyle w:val="ListParagraph"/>
              <w:numPr>
                <w:ilvl w:val="0"/>
                <w:numId w:val="51"/>
              </w:numPr>
              <w:rPr>
                <w:rStyle w:val="normaltextrun"/>
                <w:rFonts w:ascii="Calibri" w:hAnsi="Calibri" w:cs="Calibri"/>
                <w:color w:val="000000"/>
                <w:shd w:val="clear" w:color="auto" w:fill="FFFFFF"/>
                <w:lang w:val="en-US"/>
              </w:rPr>
            </w:pPr>
            <w:r w:rsidRPr="00292B8F">
              <w:rPr>
                <w:rStyle w:val="normaltextrun"/>
                <w:rFonts w:ascii="Calibri" w:hAnsi="Calibri" w:cs="Calibri"/>
                <w:color w:val="000000"/>
                <w:shd w:val="clear" w:color="auto" w:fill="FFFFFF"/>
                <w:lang w:val="en-US"/>
              </w:rPr>
              <w:t>Selection criteria (Art</w:t>
            </w:r>
            <w:r w:rsidRPr="00292B8F">
              <w:rPr>
                <w:rStyle w:val="normaltextrun"/>
                <w:rFonts w:ascii="Calibri" w:hAnsi="Calibri" w:cs="Calibri"/>
                <w:color w:val="000000"/>
                <w:shd w:val="clear" w:color="auto" w:fill="FFFFFF"/>
                <w:lang w:val="en-US"/>
              </w:rPr>
              <w:t>icle</w:t>
            </w:r>
            <w:r w:rsidRPr="00292B8F">
              <w:rPr>
                <w:rStyle w:val="normaltextrun"/>
                <w:rFonts w:ascii="Calibri" w:hAnsi="Calibri" w:cs="Calibri"/>
                <w:color w:val="000000"/>
                <w:shd w:val="clear" w:color="auto" w:fill="FFFFFF"/>
                <w:lang w:val="en-US"/>
              </w:rPr>
              <w:t xml:space="preserve"> 58)</w:t>
            </w:r>
          </w:p>
          <w:p w14:paraId="3DF8CA18" w14:textId="5119B191" w:rsidR="00614561" w:rsidRDefault="00D93839" w:rsidP="00614561">
            <w:pPr>
              <w:pStyle w:val="ListParagraph"/>
              <w:rPr>
                <w:rFonts w:ascii="Calibri" w:hAnsi="Calibri" w:cs="Calibri"/>
                <w:color w:val="000000"/>
                <w:shd w:val="clear" w:color="auto" w:fill="FFFFFF"/>
              </w:rPr>
            </w:pPr>
            <w:r>
              <w:rPr>
                <w:rStyle w:val="normaltextrun"/>
                <w:rFonts w:ascii="Calibri" w:hAnsi="Calibri" w:cs="Calibri"/>
                <w:color w:val="000000"/>
                <w:shd w:val="clear" w:color="auto" w:fill="FFFFFF"/>
                <w:lang w:val="en-US"/>
              </w:rPr>
              <w:t>C</w:t>
            </w:r>
            <w:proofErr w:type="spellStart"/>
            <w:r w:rsidR="00315CD2" w:rsidRPr="00315CD2">
              <w:rPr>
                <w:rFonts w:ascii="Calibri" w:hAnsi="Calibri" w:cs="Calibri"/>
                <w:color w:val="000000"/>
                <w:shd w:val="clear" w:color="auto" w:fill="FFFFFF"/>
              </w:rPr>
              <w:t>ontracting</w:t>
            </w:r>
            <w:proofErr w:type="spellEnd"/>
            <w:r w:rsidR="00315CD2" w:rsidRPr="00315CD2">
              <w:rPr>
                <w:rFonts w:ascii="Calibri" w:hAnsi="Calibri" w:cs="Calibri"/>
                <w:color w:val="000000"/>
                <w:shd w:val="clear" w:color="auto" w:fill="FFFFFF"/>
              </w:rPr>
              <w:t xml:space="preserve"> authorities to impose criteria relating to</w:t>
            </w:r>
            <w:r w:rsidR="00315CD2">
              <w:rPr>
                <w:rFonts w:ascii="Calibri" w:hAnsi="Calibri" w:cs="Calibri"/>
                <w:color w:val="000000"/>
                <w:shd w:val="clear" w:color="auto" w:fill="FFFFFF"/>
              </w:rPr>
              <w:t>: s</w:t>
            </w:r>
            <w:r w:rsidR="00315CD2" w:rsidRPr="00315CD2">
              <w:rPr>
                <w:rFonts w:ascii="Calibri" w:hAnsi="Calibri" w:cs="Calibri"/>
                <w:color w:val="000000"/>
                <w:shd w:val="clear" w:color="auto" w:fill="FFFFFF"/>
              </w:rPr>
              <w:t>uitability to pursue a professional activity</w:t>
            </w:r>
            <w:r w:rsidR="00315CD2">
              <w:rPr>
                <w:rFonts w:ascii="Calibri" w:hAnsi="Calibri" w:cs="Calibri"/>
                <w:color w:val="000000"/>
                <w:shd w:val="clear" w:color="auto" w:fill="FFFFFF"/>
              </w:rPr>
              <w:t>; e</w:t>
            </w:r>
            <w:r w:rsidR="00315CD2" w:rsidRPr="00315CD2">
              <w:rPr>
                <w:rFonts w:ascii="Calibri" w:hAnsi="Calibri" w:cs="Calibri"/>
                <w:color w:val="000000"/>
                <w:shd w:val="clear" w:color="auto" w:fill="FFFFFF"/>
              </w:rPr>
              <w:t>conomic and financial standing</w:t>
            </w:r>
            <w:r w:rsidR="00315CD2">
              <w:rPr>
                <w:rFonts w:ascii="Calibri" w:hAnsi="Calibri" w:cs="Calibri"/>
                <w:color w:val="000000"/>
                <w:shd w:val="clear" w:color="auto" w:fill="FFFFFF"/>
              </w:rPr>
              <w:t>; and technical and professional ability.</w:t>
            </w:r>
          </w:p>
          <w:p w14:paraId="3C375CE8" w14:textId="77777777" w:rsidR="00614561" w:rsidRPr="00614561" w:rsidRDefault="00614561" w:rsidP="00614561">
            <w:pPr>
              <w:pStyle w:val="ListParagraph"/>
              <w:rPr>
                <w:rStyle w:val="normaltextrun"/>
                <w:rFonts w:ascii="Calibri" w:hAnsi="Calibri" w:cs="Calibri"/>
                <w:color w:val="000000"/>
                <w:shd w:val="clear" w:color="auto" w:fill="FFFFFF"/>
              </w:rPr>
            </w:pPr>
          </w:p>
          <w:p w14:paraId="45E65B14" w14:textId="2BC69931" w:rsidR="00EA7B0F" w:rsidRDefault="00EA7B0F" w:rsidP="00292B8F">
            <w:pPr>
              <w:pStyle w:val="ListParagraph"/>
              <w:numPr>
                <w:ilvl w:val="0"/>
                <w:numId w:val="51"/>
              </w:numPr>
              <w:rPr>
                <w:rStyle w:val="normaltextrun"/>
                <w:rFonts w:ascii="Calibri" w:hAnsi="Calibri" w:cs="Calibri"/>
                <w:color w:val="000000"/>
                <w:shd w:val="clear" w:color="auto" w:fill="FFFFFF"/>
                <w:lang w:val="en-US"/>
              </w:rPr>
            </w:pPr>
            <w:r w:rsidRPr="00292B8F">
              <w:rPr>
                <w:rStyle w:val="normaltextrun"/>
                <w:rFonts w:ascii="Calibri" w:hAnsi="Calibri" w:cs="Calibri"/>
                <w:color w:val="000000"/>
                <w:shd w:val="clear" w:color="auto" w:fill="FFFFFF"/>
                <w:lang w:val="en-US"/>
              </w:rPr>
              <w:t>Award criteria and life-cycle costing (Art</w:t>
            </w:r>
            <w:r w:rsidRPr="00292B8F">
              <w:rPr>
                <w:rStyle w:val="normaltextrun"/>
                <w:rFonts w:ascii="Calibri" w:hAnsi="Calibri" w:cs="Calibri"/>
                <w:color w:val="000000"/>
                <w:shd w:val="clear" w:color="auto" w:fill="FFFFFF"/>
                <w:lang w:val="en-US"/>
              </w:rPr>
              <w:t>icles</w:t>
            </w:r>
            <w:r w:rsidRPr="00292B8F">
              <w:rPr>
                <w:rStyle w:val="normaltextrun"/>
                <w:rFonts w:ascii="Calibri" w:hAnsi="Calibri" w:cs="Calibri"/>
                <w:color w:val="000000"/>
                <w:shd w:val="clear" w:color="auto" w:fill="FFFFFF"/>
                <w:lang w:val="en-US"/>
              </w:rPr>
              <w:t xml:space="preserve"> 67</w:t>
            </w:r>
            <w:r w:rsidRPr="00292B8F">
              <w:rPr>
                <w:rStyle w:val="normaltextrun"/>
                <w:rFonts w:ascii="Calibri" w:hAnsi="Calibri" w:cs="Calibri"/>
                <w:color w:val="000000"/>
                <w:shd w:val="clear" w:color="auto" w:fill="FFFFFF"/>
                <w:lang w:val="en-US"/>
              </w:rPr>
              <w:t xml:space="preserve"> and</w:t>
            </w:r>
            <w:r w:rsidRPr="00292B8F">
              <w:rPr>
                <w:rStyle w:val="normaltextrun"/>
                <w:rFonts w:ascii="Calibri" w:hAnsi="Calibri" w:cs="Calibri"/>
                <w:color w:val="000000"/>
                <w:shd w:val="clear" w:color="auto" w:fill="FFFFFF"/>
                <w:lang w:val="en-US"/>
              </w:rPr>
              <w:t xml:space="preserve"> 68)</w:t>
            </w:r>
          </w:p>
          <w:p w14:paraId="69C8E9B9" w14:textId="6CDB704E" w:rsidR="00614561" w:rsidRDefault="00D93839" w:rsidP="00952C63">
            <w:pPr>
              <w:pStyle w:val="ListParagraph"/>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C</w:t>
            </w:r>
            <w:r w:rsidR="00614561" w:rsidRPr="00614561">
              <w:rPr>
                <w:rStyle w:val="normaltextrun"/>
                <w:rFonts w:ascii="Calibri" w:hAnsi="Calibri" w:cs="Calibri"/>
                <w:color w:val="000000"/>
                <w:shd w:val="clear" w:color="auto" w:fill="FFFFFF"/>
                <w:lang w:val="en-US"/>
              </w:rPr>
              <w:t xml:space="preserve">ontracting authorities may integrate environmental considerations into the evaluation of tenders. </w:t>
            </w:r>
          </w:p>
          <w:p w14:paraId="51AD98BF" w14:textId="77777777" w:rsidR="00614561" w:rsidRDefault="00614561" w:rsidP="00952C63">
            <w:pPr>
              <w:pStyle w:val="ListParagraph"/>
              <w:rPr>
                <w:rStyle w:val="normaltextrun"/>
                <w:rFonts w:ascii="Calibri" w:hAnsi="Calibri" w:cs="Calibri"/>
                <w:color w:val="000000"/>
                <w:shd w:val="clear" w:color="auto" w:fill="FFFFFF"/>
                <w:lang w:val="en-US"/>
              </w:rPr>
            </w:pPr>
            <w:r w:rsidRPr="00614561">
              <w:rPr>
                <w:rStyle w:val="normaltextrun"/>
                <w:rFonts w:ascii="Calibri" w:hAnsi="Calibri" w:cs="Calibri"/>
                <w:color w:val="000000"/>
                <w:shd w:val="clear" w:color="auto" w:fill="FFFFFF"/>
                <w:lang w:val="en-US"/>
              </w:rPr>
              <w:lastRenderedPageBreak/>
              <w:t>Under Article 67(2)(a), award criteria based on the “most economically advantageous tender” (MEAT) may include environmental characteristics, such as energy efficiency.</w:t>
            </w:r>
          </w:p>
          <w:p w14:paraId="421617A9" w14:textId="3CA644E3" w:rsidR="00952C63" w:rsidRDefault="00614561" w:rsidP="00952C63">
            <w:pPr>
              <w:pStyle w:val="ListParagraph"/>
              <w:rPr>
                <w:rStyle w:val="normaltextrun"/>
                <w:rFonts w:ascii="Calibri" w:hAnsi="Calibri" w:cs="Calibri"/>
                <w:color w:val="000000"/>
                <w:shd w:val="clear" w:color="auto" w:fill="FFFFFF"/>
                <w:lang w:val="en-US"/>
              </w:rPr>
            </w:pPr>
            <w:r w:rsidRPr="00614561">
              <w:rPr>
                <w:rStyle w:val="normaltextrun"/>
                <w:rFonts w:ascii="Calibri" w:hAnsi="Calibri" w:cs="Calibri"/>
                <w:color w:val="000000"/>
                <w:shd w:val="clear" w:color="auto" w:fill="FFFFFF"/>
                <w:lang w:val="en-US"/>
              </w:rPr>
              <w:t>Article 68(1) complements this by specifying that life-cycle costing (LCC), where applied, may cover costs related to energy or resource consumption, end-of-life management, and environmental externalities, including greenhouse gas emissions, provided their monetary value can be determined and verified.</w:t>
            </w:r>
          </w:p>
          <w:p w14:paraId="56AB1F24" w14:textId="77777777" w:rsidR="00614561" w:rsidRPr="00292B8F" w:rsidRDefault="00614561" w:rsidP="00952C63">
            <w:pPr>
              <w:pStyle w:val="ListParagraph"/>
              <w:rPr>
                <w:rStyle w:val="normaltextrun"/>
                <w:rFonts w:ascii="Calibri" w:hAnsi="Calibri" w:cs="Calibri"/>
                <w:color w:val="000000"/>
                <w:shd w:val="clear" w:color="auto" w:fill="FFFFFF"/>
                <w:lang w:val="en-US"/>
              </w:rPr>
            </w:pPr>
          </w:p>
          <w:p w14:paraId="22574282" w14:textId="7CEFBEC5" w:rsidR="00EA7B0F" w:rsidRDefault="00EA7B0F" w:rsidP="00292B8F">
            <w:pPr>
              <w:pStyle w:val="ListParagraph"/>
              <w:numPr>
                <w:ilvl w:val="0"/>
                <w:numId w:val="51"/>
              </w:numPr>
              <w:rPr>
                <w:rStyle w:val="normaltextrun"/>
                <w:rFonts w:ascii="Calibri" w:hAnsi="Calibri" w:cs="Calibri"/>
                <w:color w:val="000000"/>
                <w:shd w:val="clear" w:color="auto" w:fill="FFFFFF"/>
                <w:lang w:val="en-US"/>
              </w:rPr>
            </w:pPr>
            <w:r w:rsidRPr="00292B8F">
              <w:rPr>
                <w:rStyle w:val="normaltextrun"/>
                <w:rFonts w:ascii="Calibri" w:hAnsi="Calibri" w:cs="Calibri"/>
                <w:color w:val="000000"/>
                <w:shd w:val="clear" w:color="auto" w:fill="FFFFFF"/>
                <w:lang w:val="en-US"/>
              </w:rPr>
              <w:t>Technical specifications (Art</w:t>
            </w:r>
            <w:r w:rsidRPr="00292B8F">
              <w:rPr>
                <w:rStyle w:val="normaltextrun"/>
                <w:rFonts w:ascii="Calibri" w:hAnsi="Calibri" w:cs="Calibri"/>
                <w:color w:val="000000"/>
                <w:shd w:val="clear" w:color="auto" w:fill="FFFFFF"/>
                <w:lang w:val="en-US"/>
              </w:rPr>
              <w:t>icle</w:t>
            </w:r>
            <w:r w:rsidRPr="00292B8F">
              <w:rPr>
                <w:rStyle w:val="normaltextrun"/>
                <w:rFonts w:ascii="Calibri" w:hAnsi="Calibri" w:cs="Calibri"/>
                <w:color w:val="000000"/>
                <w:shd w:val="clear" w:color="auto" w:fill="FFFFFF"/>
                <w:lang w:val="en-US"/>
              </w:rPr>
              <w:t xml:space="preserve"> 42)</w:t>
            </w:r>
          </w:p>
          <w:p w14:paraId="2A179C79" w14:textId="4458733F" w:rsidR="00614561" w:rsidRDefault="00D93839" w:rsidP="00674317">
            <w:pPr>
              <w:pStyle w:val="ListParagraph"/>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T</w:t>
            </w:r>
            <w:r w:rsidRPr="00D93839">
              <w:rPr>
                <w:rStyle w:val="normaltextrun"/>
                <w:rFonts w:ascii="Calibri" w:hAnsi="Calibri" w:cs="Calibri"/>
                <w:color w:val="000000"/>
                <w:shd w:val="clear" w:color="auto" w:fill="FFFFFF"/>
                <w:lang w:val="en-US"/>
              </w:rPr>
              <w:t>echnical specifications may refer to</w:t>
            </w:r>
            <w:r>
              <w:rPr>
                <w:rStyle w:val="normaltextrun"/>
                <w:rFonts w:ascii="Calibri" w:hAnsi="Calibri" w:cs="Calibri"/>
                <w:color w:val="000000"/>
                <w:shd w:val="clear" w:color="auto" w:fill="FFFFFF"/>
                <w:lang w:val="en-US"/>
              </w:rPr>
              <w:t xml:space="preserve"> e</w:t>
            </w:r>
            <w:r w:rsidRPr="00D93839">
              <w:rPr>
                <w:rStyle w:val="normaltextrun"/>
                <w:rFonts w:ascii="Calibri" w:hAnsi="Calibri" w:cs="Calibri"/>
                <w:color w:val="000000"/>
                <w:shd w:val="clear" w:color="auto" w:fill="FFFFFF"/>
                <w:lang w:val="en-US"/>
              </w:rPr>
              <w:t>nvironmental performance levels, including performance-based or functional requirements (e.g. maximum emissions, energy efficiency).</w:t>
            </w:r>
          </w:p>
          <w:p w14:paraId="040CE474" w14:textId="77777777" w:rsidR="00674317" w:rsidRPr="00674317" w:rsidRDefault="00674317" w:rsidP="00674317">
            <w:pPr>
              <w:pStyle w:val="ListParagraph"/>
              <w:rPr>
                <w:rStyle w:val="normaltextrun"/>
                <w:rFonts w:ascii="Calibri" w:hAnsi="Calibri" w:cs="Calibri"/>
                <w:color w:val="000000"/>
                <w:shd w:val="clear" w:color="auto" w:fill="FFFFFF"/>
                <w:lang w:val="en-US"/>
              </w:rPr>
            </w:pPr>
          </w:p>
          <w:p w14:paraId="5FE310CA" w14:textId="147680D5" w:rsidR="00EA7B0F" w:rsidRDefault="00EA7B0F" w:rsidP="00292B8F">
            <w:pPr>
              <w:pStyle w:val="ListParagraph"/>
              <w:numPr>
                <w:ilvl w:val="0"/>
                <w:numId w:val="51"/>
              </w:numPr>
              <w:rPr>
                <w:rStyle w:val="normaltextrun"/>
                <w:rFonts w:ascii="Calibri" w:hAnsi="Calibri" w:cs="Calibri"/>
                <w:color w:val="000000"/>
                <w:shd w:val="clear" w:color="auto" w:fill="FFFFFF"/>
                <w:lang w:val="en-US"/>
              </w:rPr>
            </w:pPr>
            <w:r w:rsidRPr="00292B8F">
              <w:rPr>
                <w:rStyle w:val="normaltextrun"/>
                <w:rFonts w:ascii="Calibri" w:hAnsi="Calibri" w:cs="Calibri"/>
                <w:color w:val="000000"/>
                <w:shd w:val="clear" w:color="auto" w:fill="FFFFFF"/>
                <w:lang w:val="en-US"/>
              </w:rPr>
              <w:t>Environmental labels (Art</w:t>
            </w:r>
            <w:r w:rsidRPr="00292B8F">
              <w:rPr>
                <w:rStyle w:val="normaltextrun"/>
                <w:rFonts w:ascii="Calibri" w:hAnsi="Calibri" w:cs="Calibri"/>
                <w:color w:val="000000"/>
                <w:shd w:val="clear" w:color="auto" w:fill="FFFFFF"/>
                <w:lang w:val="en-US"/>
              </w:rPr>
              <w:t>icle</w:t>
            </w:r>
            <w:r w:rsidRPr="00292B8F">
              <w:rPr>
                <w:rStyle w:val="normaltextrun"/>
                <w:rFonts w:ascii="Calibri" w:hAnsi="Calibri" w:cs="Calibri"/>
                <w:color w:val="000000"/>
                <w:shd w:val="clear" w:color="auto" w:fill="FFFFFF"/>
                <w:lang w:val="en-US"/>
              </w:rPr>
              <w:t xml:space="preserve"> 43)</w:t>
            </w:r>
          </w:p>
          <w:p w14:paraId="1CD558B7" w14:textId="046896BD" w:rsidR="005D31CE" w:rsidRPr="005D31CE" w:rsidRDefault="00F6224F" w:rsidP="005D31CE">
            <w:pPr>
              <w:pStyle w:val="ListParagraph"/>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T</w:t>
            </w:r>
            <w:r w:rsidRPr="00F6224F">
              <w:rPr>
                <w:rStyle w:val="normaltextrun"/>
                <w:rFonts w:ascii="Calibri" w:hAnsi="Calibri" w:cs="Calibri"/>
                <w:color w:val="000000"/>
                <w:shd w:val="clear" w:color="auto" w:fill="FFFFFF"/>
                <w:lang w:val="en-US"/>
              </w:rPr>
              <w:t xml:space="preserve">he use of specific environmental labels (such as ecolabels) </w:t>
            </w:r>
            <w:r>
              <w:rPr>
                <w:rStyle w:val="normaltextrun"/>
                <w:rFonts w:ascii="Calibri" w:hAnsi="Calibri" w:cs="Calibri"/>
                <w:color w:val="000000"/>
                <w:shd w:val="clear" w:color="auto" w:fill="FFFFFF"/>
                <w:lang w:val="en-US"/>
              </w:rPr>
              <w:t>is allowed as long as the label requirements are linked t</w:t>
            </w:r>
            <w:r w:rsidR="005D31CE">
              <w:rPr>
                <w:rStyle w:val="normaltextrun"/>
                <w:rFonts w:ascii="Calibri" w:hAnsi="Calibri" w:cs="Calibri"/>
                <w:color w:val="000000"/>
                <w:shd w:val="clear" w:color="auto" w:fill="FFFFFF"/>
                <w:lang w:val="en-US"/>
              </w:rPr>
              <w:t>o th</w:t>
            </w:r>
            <w:r w:rsidR="005D31CE" w:rsidRPr="005D31CE">
              <w:rPr>
                <w:rStyle w:val="normaltextrun"/>
                <w:rFonts w:ascii="Calibri" w:hAnsi="Calibri" w:cs="Calibri"/>
                <w:color w:val="000000"/>
                <w:shd w:val="clear" w:color="auto" w:fill="FFFFFF"/>
                <w:lang w:val="en-US"/>
              </w:rPr>
              <w:t>e subject-matter of the contract</w:t>
            </w:r>
            <w:r w:rsidR="005D31CE">
              <w:rPr>
                <w:rStyle w:val="normaltextrun"/>
                <w:rFonts w:ascii="Calibri" w:hAnsi="Calibri" w:cs="Calibri"/>
                <w:color w:val="000000"/>
                <w:shd w:val="clear" w:color="auto" w:fill="FFFFFF"/>
                <w:lang w:val="en-US"/>
              </w:rPr>
              <w:t>, v</w:t>
            </w:r>
            <w:r w:rsidR="005D31CE" w:rsidRPr="005D31CE">
              <w:rPr>
                <w:rStyle w:val="normaltextrun"/>
                <w:rFonts w:ascii="Calibri" w:hAnsi="Calibri" w:cs="Calibri"/>
                <w:color w:val="000000"/>
                <w:shd w:val="clear" w:color="auto" w:fill="FFFFFF"/>
                <w:lang w:val="en-US"/>
              </w:rPr>
              <w:t>erifiable</w:t>
            </w:r>
            <w:r w:rsidR="005D31CE">
              <w:rPr>
                <w:rStyle w:val="normaltextrun"/>
                <w:rFonts w:ascii="Calibri" w:hAnsi="Calibri" w:cs="Calibri"/>
                <w:color w:val="000000"/>
                <w:shd w:val="clear" w:color="auto" w:fill="FFFFFF"/>
                <w:lang w:val="en-US"/>
              </w:rPr>
              <w:t xml:space="preserve"> and a</w:t>
            </w:r>
            <w:r w:rsidR="005D31CE" w:rsidRPr="005D31CE">
              <w:rPr>
                <w:rStyle w:val="normaltextrun"/>
                <w:rFonts w:ascii="Calibri" w:hAnsi="Calibri" w:cs="Calibri"/>
                <w:color w:val="000000"/>
                <w:shd w:val="clear" w:color="auto" w:fill="FFFFFF"/>
                <w:lang w:val="en-US"/>
              </w:rPr>
              <w:t>ccessible to all interested parties.</w:t>
            </w:r>
          </w:p>
          <w:p w14:paraId="13F9793B" w14:textId="77777777" w:rsidR="00F6224F" w:rsidRPr="00292B8F" w:rsidRDefault="00F6224F" w:rsidP="00614561">
            <w:pPr>
              <w:pStyle w:val="ListParagraph"/>
              <w:rPr>
                <w:rStyle w:val="normaltextrun"/>
                <w:rFonts w:ascii="Calibri" w:hAnsi="Calibri" w:cs="Calibri"/>
                <w:color w:val="000000"/>
                <w:shd w:val="clear" w:color="auto" w:fill="FFFFFF"/>
                <w:lang w:val="en-US"/>
              </w:rPr>
            </w:pPr>
          </w:p>
          <w:p w14:paraId="30243F26" w14:textId="77777777" w:rsidR="004557A1" w:rsidRDefault="00EA7B0F" w:rsidP="00292B8F">
            <w:pPr>
              <w:pStyle w:val="ListParagraph"/>
              <w:numPr>
                <w:ilvl w:val="0"/>
                <w:numId w:val="51"/>
              </w:numPr>
              <w:rPr>
                <w:rStyle w:val="normaltextrun"/>
                <w:rFonts w:ascii="Calibri" w:hAnsi="Calibri" w:cs="Calibri"/>
                <w:color w:val="000000"/>
                <w:shd w:val="clear" w:color="auto" w:fill="FFFFFF"/>
                <w:lang w:val="en-US"/>
              </w:rPr>
            </w:pPr>
            <w:r w:rsidRPr="00292B8F">
              <w:rPr>
                <w:rStyle w:val="normaltextrun"/>
                <w:rFonts w:ascii="Calibri" w:hAnsi="Calibri" w:cs="Calibri"/>
                <w:color w:val="000000"/>
                <w:shd w:val="clear" w:color="auto" w:fill="FFFFFF"/>
                <w:lang w:val="en-US"/>
              </w:rPr>
              <w:t>Performance conditions (Art</w:t>
            </w:r>
            <w:r w:rsidRPr="00292B8F">
              <w:rPr>
                <w:rStyle w:val="normaltextrun"/>
                <w:rFonts w:ascii="Calibri" w:hAnsi="Calibri" w:cs="Calibri"/>
                <w:color w:val="000000"/>
                <w:shd w:val="clear" w:color="auto" w:fill="FFFFFF"/>
                <w:lang w:val="en-US"/>
              </w:rPr>
              <w:t>icle</w:t>
            </w:r>
            <w:r w:rsidRPr="00292B8F">
              <w:rPr>
                <w:rStyle w:val="normaltextrun"/>
                <w:rFonts w:ascii="Calibri" w:hAnsi="Calibri" w:cs="Calibri"/>
                <w:color w:val="000000"/>
                <w:shd w:val="clear" w:color="auto" w:fill="FFFFFF"/>
                <w:lang w:val="en-US"/>
              </w:rPr>
              <w:t xml:space="preserve"> 70)</w:t>
            </w:r>
          </w:p>
          <w:p w14:paraId="1FEBD8A5" w14:textId="6F0F0F79" w:rsidR="00614561" w:rsidRPr="00674317" w:rsidRDefault="00674317" w:rsidP="00674317">
            <w:pPr>
              <w:pStyle w:val="ListParagraph"/>
              <w:rPr>
                <w:rStyle w:val="normaltextrun"/>
                <w:rFonts w:ascii="Calibri" w:hAnsi="Calibri" w:cs="Calibri"/>
                <w:color w:val="000000"/>
                <w:shd w:val="clear" w:color="auto" w:fill="FFFFFF"/>
                <w:lang w:val="en-US"/>
              </w:rPr>
            </w:pPr>
            <w:r w:rsidRPr="00674317">
              <w:rPr>
                <w:rStyle w:val="normaltextrun"/>
                <w:rFonts w:ascii="Calibri" w:hAnsi="Calibri" w:cs="Calibri"/>
                <w:color w:val="000000"/>
                <w:shd w:val="clear" w:color="auto" w:fill="FFFFFF"/>
                <w:lang w:val="en-US"/>
              </w:rPr>
              <w:t xml:space="preserve">While not part of the solicitation itself, </w:t>
            </w:r>
            <w:r>
              <w:rPr>
                <w:rStyle w:val="normaltextrun"/>
                <w:rFonts w:ascii="Calibri" w:hAnsi="Calibri" w:cs="Calibri"/>
                <w:color w:val="000000"/>
                <w:shd w:val="clear" w:color="auto" w:fill="FFFFFF"/>
                <w:lang w:val="en-US"/>
              </w:rPr>
              <w:t>this provision</w:t>
            </w:r>
            <w:r w:rsidRPr="00674317">
              <w:rPr>
                <w:rStyle w:val="normaltextrun"/>
                <w:rFonts w:ascii="Calibri" w:hAnsi="Calibri" w:cs="Calibri"/>
                <w:color w:val="000000"/>
                <w:shd w:val="clear" w:color="auto" w:fill="FFFFFF"/>
                <w:lang w:val="en-US"/>
              </w:rPr>
              <w:t xml:space="preserve"> permits environmental requirements to be set as contract performance conditions, provided they are</w:t>
            </w:r>
            <w:r>
              <w:rPr>
                <w:rStyle w:val="normaltextrun"/>
                <w:rFonts w:ascii="Calibri" w:hAnsi="Calibri" w:cs="Calibri"/>
                <w:color w:val="000000"/>
                <w:shd w:val="clear" w:color="auto" w:fill="FFFFFF"/>
                <w:lang w:val="en-US"/>
              </w:rPr>
              <w:t xml:space="preserve"> l</w:t>
            </w:r>
            <w:r w:rsidRPr="00674317">
              <w:rPr>
                <w:rStyle w:val="normaltextrun"/>
                <w:rFonts w:ascii="Calibri" w:hAnsi="Calibri" w:cs="Calibri"/>
                <w:color w:val="000000"/>
                <w:shd w:val="clear" w:color="auto" w:fill="FFFFFF"/>
                <w:lang w:val="en-US"/>
              </w:rPr>
              <w:t>inked to the subject-matter of the contract, and</w:t>
            </w:r>
            <w:r>
              <w:rPr>
                <w:rStyle w:val="normaltextrun"/>
                <w:rFonts w:ascii="Calibri" w:hAnsi="Calibri" w:cs="Calibri"/>
                <w:color w:val="000000"/>
                <w:shd w:val="clear" w:color="auto" w:fill="FFFFFF"/>
                <w:lang w:val="en-US"/>
              </w:rPr>
              <w:t xml:space="preserve"> i</w:t>
            </w:r>
            <w:r w:rsidRPr="00674317">
              <w:rPr>
                <w:rStyle w:val="normaltextrun"/>
                <w:rFonts w:ascii="Calibri" w:hAnsi="Calibri" w:cs="Calibri"/>
                <w:color w:val="000000"/>
                <w:shd w:val="clear" w:color="auto" w:fill="FFFFFF"/>
                <w:lang w:val="en-US"/>
              </w:rPr>
              <w:t>ndicated in the call for competition or procurement documents.</w:t>
            </w:r>
          </w:p>
        </w:tc>
      </w:tr>
    </w:tbl>
    <w:p w14:paraId="42B55ABA" w14:textId="77777777" w:rsidR="00064195" w:rsidRDefault="00064195"/>
    <w:p w14:paraId="6C78C0BB" w14:textId="79EC73B0" w:rsidR="00064195" w:rsidRDefault="005E50FD" w:rsidP="00064195">
      <w:pPr>
        <w:pStyle w:val="Heading2"/>
      </w:pPr>
      <w:bookmarkStart w:id="21" w:name="_Toc198223617"/>
      <w:r>
        <w:t xml:space="preserve">Section 3.5: </w:t>
      </w:r>
      <w:r w:rsidR="00064195">
        <w:t>Exclusion or Debarment Grounds</w:t>
      </w:r>
      <w:bookmarkEnd w:id="21"/>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35F4DFFE" w:rsidR="008A4685" w:rsidRPr="00CF2E7C" w:rsidRDefault="009139D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0E41EF24" w:rsidR="008A4685" w:rsidRPr="00CF2E7C" w:rsidRDefault="009139D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127FDFB8" w:rsidR="008A4685" w:rsidRPr="00CF2E7C" w:rsidRDefault="009139D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4EB64CB1" w:rsidR="008A4685" w:rsidRPr="00CF2E7C" w:rsidRDefault="009139D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lastRenderedPageBreak/>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42A8FAA4" w:rsidR="008A4685" w:rsidRPr="00CF2E7C" w:rsidRDefault="009139D3" w:rsidP="00CF2E7C">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2" w:name="_Toc198223618"/>
      <w:r>
        <w:t xml:space="preserve">Section 3.6: </w:t>
      </w:r>
      <w:r w:rsidR="00C85DD9">
        <w:t>Qualification or Selection Criteria</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590F35D8" w:rsidR="008A4685" w:rsidRPr="00CF2E7C" w:rsidRDefault="00C46A8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37918AD8" w:rsidR="008A4685" w:rsidRPr="00CF2E7C" w:rsidRDefault="00C46A8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65883F1B" w:rsidR="008A4685" w:rsidRPr="00CF2E7C" w:rsidRDefault="00C46A8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6E9E951" w:rsidR="008A4685" w:rsidRPr="00CF2E7C" w:rsidRDefault="00C46A8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46A8A197" w:rsidR="008A4685" w:rsidRPr="00CF2E7C" w:rsidRDefault="00C46A8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4E4BFD8A" w:rsidR="008A4685" w:rsidRPr="00CF2E7C" w:rsidRDefault="00C46A8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2143C3CD" w:rsidR="008A4685" w:rsidRPr="00CF2E7C" w:rsidRDefault="00C46A8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3FBB5F7F" w:rsidR="008A4685" w:rsidRPr="00CF2E7C" w:rsidRDefault="00C46A8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82291E5" w:rsidR="008A4685" w:rsidRPr="00CF2E7C" w:rsidRDefault="00C46A8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2A7D37D0" w:rsidR="008A4685" w:rsidRPr="00CF2E7C" w:rsidRDefault="00B765C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lastRenderedPageBreak/>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2182A3D6" w14:textId="1D26AD50" w:rsidR="00CD5934" w:rsidRDefault="00F8419F" w:rsidP="00CF2E7C">
            <w:pPr>
              <w:rPr>
                <w:rFonts w:ascii="Calibri" w:hAnsi="Calibri" w:cs="Calibri"/>
                <w:color w:val="000000"/>
                <w:sz w:val="22"/>
                <w:szCs w:val="22"/>
                <w:shd w:val="clear" w:color="auto" w:fill="FFFFFF"/>
              </w:rPr>
            </w:pPr>
            <w:r>
              <w:rPr>
                <w:rStyle w:val="normaltextrun"/>
                <w:rFonts w:ascii="Calibri" w:hAnsi="Calibri" w:cs="Calibri"/>
                <w:color w:val="000000"/>
                <w:sz w:val="22"/>
                <w:szCs w:val="22"/>
                <w:shd w:val="clear" w:color="auto" w:fill="FFFFFF"/>
                <w:lang w:val="en-US"/>
              </w:rPr>
              <w:t xml:space="preserve">Directive </w:t>
            </w:r>
            <w:r w:rsidR="003911B4" w:rsidRPr="003911B4">
              <w:rPr>
                <w:rFonts w:ascii="Calibri" w:hAnsi="Calibri" w:cs="Calibri"/>
                <w:color w:val="000000"/>
                <w:sz w:val="22"/>
                <w:szCs w:val="22"/>
                <w:shd w:val="clear" w:color="auto" w:fill="FFFFFF"/>
              </w:rPr>
              <w:t>2014/24/EU</w:t>
            </w:r>
            <w:r w:rsidR="003911B4">
              <w:rPr>
                <w:rFonts w:ascii="Calibri" w:hAnsi="Calibri" w:cs="Calibri"/>
                <w:color w:val="000000"/>
                <w:sz w:val="22"/>
                <w:szCs w:val="22"/>
                <w:shd w:val="clear" w:color="auto" w:fill="FFFFFF"/>
              </w:rPr>
              <w:t xml:space="preserve"> </w:t>
            </w:r>
            <w:r w:rsidR="003911B4" w:rsidRPr="003911B4">
              <w:rPr>
                <w:rFonts w:ascii="Calibri" w:hAnsi="Calibri" w:cs="Calibri"/>
                <w:color w:val="000000"/>
                <w:sz w:val="22"/>
                <w:szCs w:val="22"/>
                <w:shd w:val="clear" w:color="auto" w:fill="FFFFFF"/>
              </w:rPr>
              <w:t xml:space="preserve">permits contracting authorities to set supplier qualification and selection criteria related to environmental or climate considerations, </w:t>
            </w:r>
            <w:r w:rsidR="00BC273F">
              <w:rPr>
                <w:rFonts w:ascii="Calibri" w:hAnsi="Calibri" w:cs="Calibri"/>
                <w:color w:val="000000"/>
                <w:sz w:val="22"/>
                <w:szCs w:val="22"/>
                <w:shd w:val="clear" w:color="auto" w:fill="FFFFFF"/>
              </w:rPr>
              <w:t>if</w:t>
            </w:r>
            <w:r w:rsidR="003911B4" w:rsidRPr="003911B4">
              <w:rPr>
                <w:rFonts w:ascii="Calibri" w:hAnsi="Calibri" w:cs="Calibri"/>
                <w:color w:val="000000"/>
                <w:sz w:val="22"/>
                <w:szCs w:val="22"/>
                <w:shd w:val="clear" w:color="auto" w:fill="FFFFFF"/>
              </w:rPr>
              <w:t xml:space="preserve"> these are linked to the subject-matter of the contract and comply with general procurement principles such as transparency, proportionality and non-discrimination.</w:t>
            </w:r>
          </w:p>
          <w:p w14:paraId="7514238D" w14:textId="77777777" w:rsidR="002A150B" w:rsidRDefault="002A150B" w:rsidP="00CF2E7C">
            <w:pPr>
              <w:rPr>
                <w:rStyle w:val="normaltextrun"/>
                <w:rFonts w:ascii="Calibri" w:hAnsi="Calibri" w:cs="Calibri"/>
                <w:color w:val="000000"/>
                <w:sz w:val="22"/>
                <w:szCs w:val="22"/>
                <w:shd w:val="clear" w:color="auto" w:fill="FFFFFF"/>
                <w:lang w:val="en-US"/>
              </w:rPr>
            </w:pPr>
            <w:r w:rsidRPr="002A150B">
              <w:rPr>
                <w:rStyle w:val="normaltextrun"/>
                <w:rFonts w:ascii="Calibri" w:hAnsi="Calibri" w:cs="Calibri"/>
                <w:color w:val="000000"/>
                <w:sz w:val="22"/>
                <w:szCs w:val="22"/>
                <w:shd w:val="clear" w:color="auto" w:fill="FFFFFF"/>
                <w:lang w:val="en-US"/>
              </w:rPr>
              <w:t>Article 58(1) establishes that selection criteria may relate to the suitability of the economic operator to pursue a professional activity, its economic and financial standing, and its technical and professional ability.</w:t>
            </w:r>
          </w:p>
          <w:p w14:paraId="00988EDA" w14:textId="77777777" w:rsidR="002A150B" w:rsidRDefault="002A150B" w:rsidP="00CF2E7C">
            <w:pPr>
              <w:rPr>
                <w:rStyle w:val="normaltextrun"/>
                <w:rFonts w:ascii="Calibri" w:hAnsi="Calibri" w:cs="Calibri"/>
                <w:color w:val="000000"/>
                <w:sz w:val="22"/>
                <w:szCs w:val="22"/>
                <w:shd w:val="clear" w:color="auto" w:fill="FFFFFF"/>
                <w:lang w:val="en-US"/>
              </w:rPr>
            </w:pPr>
            <w:r w:rsidRPr="002A150B">
              <w:rPr>
                <w:rStyle w:val="normaltextrun"/>
                <w:rFonts w:ascii="Calibri" w:hAnsi="Calibri" w:cs="Calibri"/>
                <w:color w:val="000000"/>
                <w:sz w:val="22"/>
                <w:szCs w:val="22"/>
                <w:shd w:val="clear" w:color="auto" w:fill="FFFFFF"/>
                <w:lang w:val="en-US"/>
              </w:rPr>
              <w:t>Article 58(4) further allows contracting authorities to require particular professional experience, educational and professional qualifications, or environmental management measures that the operator will apply in performing the contract.</w:t>
            </w:r>
          </w:p>
          <w:p w14:paraId="18A99674" w14:textId="643A8634" w:rsidR="002A150B" w:rsidRPr="00CF2E7C" w:rsidRDefault="000E3C6D" w:rsidP="00CF2E7C">
            <w:pPr>
              <w:rPr>
                <w:rStyle w:val="normaltextrun"/>
                <w:rFonts w:ascii="Calibri" w:hAnsi="Calibri" w:cs="Calibri"/>
                <w:color w:val="000000"/>
                <w:sz w:val="22"/>
                <w:szCs w:val="22"/>
                <w:shd w:val="clear" w:color="auto" w:fill="FFFFFF"/>
                <w:lang w:val="en-US"/>
              </w:rPr>
            </w:pPr>
            <w:r w:rsidRPr="000E3C6D">
              <w:rPr>
                <w:rFonts w:ascii="Calibri" w:hAnsi="Calibri" w:cs="Calibri"/>
                <w:color w:val="000000"/>
                <w:sz w:val="22"/>
                <w:szCs w:val="22"/>
                <w:shd w:val="clear" w:color="auto" w:fill="FFFFFF"/>
              </w:rPr>
              <w:t>Article 62(1) and (2) permit the use of environmental management systems and certifications as evidence of technical ability.</w:t>
            </w:r>
            <w:r w:rsidR="00BC273F">
              <w:rPr>
                <w:rFonts w:ascii="Calibri" w:hAnsi="Calibri" w:cs="Calibri"/>
                <w:color w:val="000000"/>
                <w:sz w:val="22"/>
                <w:szCs w:val="22"/>
                <w:shd w:val="clear" w:color="auto" w:fill="FFFFFF"/>
              </w:rPr>
              <w:t xml:space="preserve"> </w:t>
            </w:r>
            <w:r w:rsidR="00BC273F" w:rsidRPr="00BC273F">
              <w:rPr>
                <w:rFonts w:ascii="Calibri" w:hAnsi="Calibri" w:cs="Calibri"/>
                <w:color w:val="000000"/>
                <w:sz w:val="22"/>
                <w:szCs w:val="22"/>
                <w:shd w:val="clear" w:color="auto" w:fill="FFFFFF"/>
              </w:rPr>
              <w:t>Contracting authorities may require certificates issued by independent bodies attesting that the economic operator complies with recognised environmental standards.</w:t>
            </w:r>
          </w:p>
        </w:tc>
      </w:tr>
    </w:tbl>
    <w:p w14:paraId="738531E1" w14:textId="77777777" w:rsidR="00A42235" w:rsidRDefault="00A42235"/>
    <w:p w14:paraId="00BDD29E" w14:textId="4B48AD1F" w:rsidR="00A42235" w:rsidRDefault="005E50FD" w:rsidP="00A42235">
      <w:pPr>
        <w:pStyle w:val="Heading2"/>
      </w:pPr>
      <w:bookmarkStart w:id="23" w:name="_Toc198223619"/>
      <w:r>
        <w:t xml:space="preserve">Section 3.7: </w:t>
      </w:r>
      <w:r w:rsidR="00A42235">
        <w:t>Technical specifications</w:t>
      </w:r>
      <w:bookmarkEnd w:id="23"/>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3126C653" w:rsidR="008A4685" w:rsidRPr="00CF2E7C" w:rsidRDefault="00B765C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37933D50" w:rsidR="008A4685" w:rsidRPr="00CF2E7C" w:rsidRDefault="00B765C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26A3F3C4" w:rsidR="008A4685" w:rsidRPr="00CF2E7C" w:rsidRDefault="00B765C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ACB678A" w:rsidR="008A4685" w:rsidRPr="00CF2E7C" w:rsidRDefault="00B765C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0EC8C162" w:rsidR="008A4685" w:rsidRPr="00CF2E7C" w:rsidRDefault="00B765C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46AF94E8" w:rsidR="008A4685" w:rsidRPr="00CF2E7C" w:rsidRDefault="00B765C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58F06CFC" w:rsidR="008A4685" w:rsidRPr="00CF2E7C" w:rsidRDefault="00B765C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lastRenderedPageBreak/>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114DCB9C" w:rsidR="008A4685" w:rsidRPr="00CF2E7C" w:rsidRDefault="00B765C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0FE1A3BF" w:rsidR="008A4685" w:rsidRPr="00CF2E7C" w:rsidRDefault="00B765C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4DF3752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5E539CAB" w:rsidR="008A4685" w:rsidRPr="00CF2E7C" w:rsidRDefault="00B765C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48AE347F" w:rsidR="008A4685" w:rsidRPr="00CF2E7C" w:rsidRDefault="00B765C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5E20C6F3" w:rsidR="008A4685" w:rsidRPr="00CF2E7C" w:rsidRDefault="00B765C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20D2F0BE" w:rsidR="008A4685" w:rsidRPr="00CF2E7C" w:rsidRDefault="00B765C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36310B7D" w14:textId="77777777" w:rsidR="00483D65" w:rsidRDefault="00FB5FA4" w:rsidP="00CF2E7C">
            <w:pPr>
              <w:rPr>
                <w:rFonts w:ascii="Calibri" w:hAnsi="Calibri" w:cs="Calibri"/>
                <w:color w:val="000000"/>
                <w:shd w:val="clear" w:color="auto" w:fill="FFFFFF"/>
              </w:rPr>
            </w:pPr>
            <w:r w:rsidRPr="00FB5FA4">
              <w:rPr>
                <w:rFonts w:ascii="Calibri" w:hAnsi="Calibri" w:cs="Calibri"/>
                <w:color w:val="000000"/>
                <w:shd w:val="clear" w:color="auto" w:fill="FFFFFF"/>
              </w:rPr>
              <w:t>Directive 2014/24/EU allows contracting authorities to include environmental requirements in technical specifications, as long as they are linked to the subject-matter of the contract and respect EU procurement principles.</w:t>
            </w:r>
          </w:p>
          <w:p w14:paraId="6B0B2F5C" w14:textId="77777777" w:rsidR="00FB5FA4" w:rsidRDefault="00EA27DD" w:rsidP="00CF2E7C">
            <w:pPr>
              <w:rPr>
                <w:rFonts w:ascii="Calibri" w:hAnsi="Calibri" w:cs="Calibri"/>
                <w:color w:val="000000"/>
                <w:shd w:val="clear" w:color="auto" w:fill="FFFFFF"/>
              </w:rPr>
            </w:pPr>
            <w:r w:rsidRPr="00EA27DD">
              <w:rPr>
                <w:rFonts w:ascii="Calibri" w:hAnsi="Calibri" w:cs="Calibri"/>
                <w:color w:val="000000"/>
                <w:shd w:val="clear" w:color="auto" w:fill="FFFFFF"/>
              </w:rPr>
              <w:t>Article 42 permits specifications based on environmental characteristics, including production methods and life-cycle aspects such as energy efficiency, emissions and use of recycled materials.</w:t>
            </w:r>
          </w:p>
          <w:p w14:paraId="429EB50B" w14:textId="77777777" w:rsidR="00EA27DD" w:rsidRDefault="00EA27DD" w:rsidP="00CF2E7C">
            <w:pPr>
              <w:rPr>
                <w:rFonts w:ascii="Calibri" w:hAnsi="Calibri" w:cs="Calibri"/>
                <w:color w:val="000000"/>
                <w:shd w:val="clear" w:color="auto" w:fill="FFFFFF"/>
              </w:rPr>
            </w:pPr>
            <w:r w:rsidRPr="00EA27DD">
              <w:rPr>
                <w:rFonts w:ascii="Calibri" w:hAnsi="Calibri" w:cs="Calibri"/>
                <w:color w:val="000000"/>
                <w:shd w:val="clear" w:color="auto" w:fill="FFFFFF"/>
              </w:rPr>
              <w:t>Article 43 further allows the use of third-party environmental labels (e.g. EU Ecolabel), provided their criteria meet transparency and relevance conditions.</w:t>
            </w:r>
          </w:p>
          <w:p w14:paraId="6121927A" w14:textId="325722FA" w:rsidR="00887136" w:rsidRPr="00CF2E7C" w:rsidRDefault="00887136" w:rsidP="00CF2E7C">
            <w:pPr>
              <w:rPr>
                <w:rStyle w:val="normaltextrun"/>
                <w:rFonts w:ascii="Calibri" w:hAnsi="Calibri" w:cs="Calibri"/>
                <w:color w:val="000000"/>
                <w:shd w:val="clear" w:color="auto" w:fill="FFFFFF"/>
                <w:lang w:val="en-US"/>
              </w:rPr>
            </w:pPr>
            <w:r w:rsidRPr="00887136">
              <w:rPr>
                <w:rFonts w:ascii="Calibri" w:hAnsi="Calibri" w:cs="Calibri"/>
                <w:color w:val="000000"/>
                <w:shd w:val="clear" w:color="auto" w:fill="FFFFFF"/>
              </w:rPr>
              <w:t>Finally, Recital 74 of the Directive reinforces this interpretation by stating that contracting authorities should be allowed to set environmental requirements, provided they are related to the subject-matter of the contract.</w:t>
            </w:r>
          </w:p>
        </w:tc>
      </w:tr>
    </w:tbl>
    <w:p w14:paraId="16B00F72" w14:textId="77777777" w:rsidR="001E7C37" w:rsidRDefault="001E7C37"/>
    <w:p w14:paraId="5ED6D64A" w14:textId="5B4704E1" w:rsidR="001E7C37" w:rsidRDefault="005E50FD" w:rsidP="001E7C37">
      <w:pPr>
        <w:pStyle w:val="Heading2"/>
      </w:pPr>
      <w:bookmarkStart w:id="24" w:name="_Toc198223620"/>
      <w:r>
        <w:t xml:space="preserve">Section 3.8: </w:t>
      </w:r>
      <w:r w:rsidR="001E7C37">
        <w:t>Contract Performance</w:t>
      </w:r>
      <w:bookmarkEnd w:id="24"/>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146D9130" w:rsidR="009A5C4E" w:rsidRPr="0074258C" w:rsidRDefault="0018179D" w:rsidP="00CF2E7C">
            <w:pPr>
              <w:rPr>
                <w:rStyle w:val="normaltextrun"/>
                <w:rFonts w:cstheme="minorHAnsi"/>
                <w:color w:val="000000"/>
                <w:lang w:val="en-US"/>
              </w:rPr>
            </w:pPr>
            <w:r>
              <w:rPr>
                <w:rStyle w:val="normaltextrun"/>
                <w:rFonts w:cstheme="minorHAnsi"/>
                <w:color w:val="000000"/>
                <w:lang w:val="en-US"/>
              </w:rPr>
              <w:t>X</w:t>
            </w: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32A0A31F" w14:textId="77777777" w:rsidR="00D677CB" w:rsidRDefault="00293AAA" w:rsidP="00CF2E7C">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 xml:space="preserve">Article 70 </w:t>
            </w:r>
            <w:r w:rsidR="00D677CB" w:rsidRPr="00D677CB">
              <w:rPr>
                <w:rStyle w:val="normaltextrun"/>
                <w:rFonts w:cstheme="minorHAnsi"/>
                <w:color w:val="000000"/>
                <w:shd w:val="clear" w:color="auto" w:fill="FFFFFF"/>
                <w:lang w:val="en-US"/>
              </w:rPr>
              <w:t xml:space="preserve">explicitly </w:t>
            </w:r>
            <w:proofErr w:type="spellStart"/>
            <w:r w:rsidR="00D677CB" w:rsidRPr="00D677CB">
              <w:rPr>
                <w:rStyle w:val="normaltextrun"/>
                <w:rFonts w:cstheme="minorHAnsi"/>
                <w:color w:val="000000"/>
                <w:shd w:val="clear" w:color="auto" w:fill="FFFFFF"/>
                <w:lang w:val="en-US"/>
              </w:rPr>
              <w:t>authorises</w:t>
            </w:r>
            <w:proofErr w:type="spellEnd"/>
            <w:r w:rsidR="00D677CB" w:rsidRPr="00D677CB">
              <w:rPr>
                <w:rStyle w:val="normaltextrun"/>
                <w:rFonts w:cstheme="minorHAnsi"/>
                <w:color w:val="000000"/>
                <w:shd w:val="clear" w:color="auto" w:fill="FFFFFF"/>
                <w:lang w:val="en-US"/>
              </w:rPr>
              <w:t xml:space="preserve"> the inclusion of environmental conditions in the execution of a public contract. Such conditions might relate to, for example, emissions reductions, energy consumption, use of environmentally friendly materials or compliance with environmental management practices during contract performance. </w:t>
            </w:r>
          </w:p>
          <w:p w14:paraId="6D4C1DA7" w14:textId="5C966FEE" w:rsidR="009A5C4E" w:rsidRPr="0074258C" w:rsidRDefault="00D677CB" w:rsidP="00CF2E7C">
            <w:pPr>
              <w:rPr>
                <w:rStyle w:val="normaltextrun"/>
                <w:rFonts w:cstheme="minorHAnsi"/>
                <w:color w:val="000000"/>
                <w:shd w:val="clear" w:color="auto" w:fill="FFFFFF"/>
                <w:lang w:val="en-US"/>
              </w:rPr>
            </w:pPr>
            <w:r w:rsidRPr="00D677CB">
              <w:rPr>
                <w:rStyle w:val="normaltextrun"/>
                <w:rFonts w:cstheme="minorHAnsi"/>
                <w:color w:val="000000"/>
                <w:shd w:val="clear" w:color="auto" w:fill="FFFFFF"/>
                <w:lang w:val="en-US"/>
              </w:rPr>
              <w:t>However, the Directive imposes no obligation on contracting authorities to include such clauses; it merely permits them to do so, provided that</w:t>
            </w:r>
            <w:r>
              <w:rPr>
                <w:rStyle w:val="normaltextrun"/>
                <w:rFonts w:cstheme="minorHAnsi"/>
                <w:color w:val="000000"/>
                <w:shd w:val="clear" w:color="auto" w:fill="FFFFFF"/>
                <w:lang w:val="en-US"/>
              </w:rPr>
              <w:t>:</w:t>
            </w:r>
            <w:r w:rsidRPr="00D677CB">
              <w:rPr>
                <w:rStyle w:val="normaltextrun"/>
                <w:rFonts w:cstheme="minorHAnsi"/>
                <w:color w:val="000000"/>
                <w:shd w:val="clear" w:color="auto" w:fill="FFFFFF"/>
                <w:lang w:val="en-US"/>
              </w:rPr>
              <w:t xml:space="preserve"> the conditions are linked to the subject-matter of the contract</w:t>
            </w:r>
            <w:r>
              <w:rPr>
                <w:rStyle w:val="normaltextrun"/>
                <w:rFonts w:cstheme="minorHAnsi"/>
                <w:color w:val="000000"/>
                <w:shd w:val="clear" w:color="auto" w:fill="FFFFFF"/>
                <w:lang w:val="en-US"/>
              </w:rPr>
              <w:t>;</w:t>
            </w:r>
            <w:r w:rsidRPr="00D677CB">
              <w:rPr>
                <w:rStyle w:val="normaltextrun"/>
                <w:rFonts w:cstheme="minorHAnsi"/>
                <w:color w:val="000000"/>
                <w:shd w:val="clear" w:color="auto" w:fill="FFFFFF"/>
                <w:lang w:val="en-US"/>
              </w:rPr>
              <w:t xml:space="preserve"> and are clearly indicated in the tender documents.</w:t>
            </w: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543B398E" w:rsidR="009A5C4E" w:rsidRPr="0074258C" w:rsidRDefault="007F367B" w:rsidP="00CF2E7C">
            <w:pPr>
              <w:rPr>
                <w:rStyle w:val="normaltextrun"/>
                <w:rFonts w:cstheme="minorHAnsi"/>
                <w:color w:val="000000"/>
                <w:lang w:val="en-US"/>
              </w:rPr>
            </w:pPr>
            <w:r>
              <w:rPr>
                <w:rStyle w:val="normaltextrun"/>
                <w:rFonts w:cstheme="minorHAnsi"/>
                <w:color w:val="000000"/>
                <w:lang w:val="en-US"/>
              </w:rPr>
              <w:t>X</w:t>
            </w: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8BA3103" w14:textId="77777777" w:rsidR="00622632" w:rsidRDefault="00F60972" w:rsidP="00CF2E7C">
            <w:pPr>
              <w:rPr>
                <w:rStyle w:val="normaltextrun"/>
                <w:rFonts w:ascii="Mulish" w:hAnsi="Mulish"/>
                <w:color w:val="000000"/>
                <w:sz w:val="22"/>
                <w:szCs w:val="22"/>
                <w:shd w:val="clear" w:color="auto" w:fill="FFFFFF"/>
                <w:lang w:val="en-US"/>
              </w:rPr>
            </w:pPr>
            <w:r>
              <w:rPr>
                <w:rStyle w:val="normaltextrun"/>
                <w:rFonts w:ascii="Mulish" w:hAnsi="Mulish"/>
                <w:color w:val="000000"/>
                <w:sz w:val="22"/>
                <w:szCs w:val="22"/>
                <w:shd w:val="clear" w:color="auto" w:fill="FFFFFF"/>
                <w:lang w:val="en-US"/>
              </w:rPr>
              <w:t>Article 83(3):</w:t>
            </w:r>
            <w:r w:rsidR="001803E7">
              <w:t xml:space="preserve"> </w:t>
            </w:r>
            <w:r w:rsidR="001803E7" w:rsidRPr="001803E7">
              <w:rPr>
                <w:rStyle w:val="normaltextrun"/>
                <w:rFonts w:ascii="Mulish" w:hAnsi="Mulish"/>
                <w:color w:val="000000"/>
                <w:sz w:val="22"/>
                <w:szCs w:val="22"/>
                <w:shd w:val="clear" w:color="auto" w:fill="FFFFFF"/>
                <w:lang w:val="en-US"/>
              </w:rPr>
              <w:t xml:space="preserve">Member States are required to submit monitoring reports to the European Commission every three years. These reports must cover issues such as the most frequent sources of misapplication or legal uncertainty, recurring structural problems, SME participation levels and the prevention and reporting of procurement fraud and irregularities. </w:t>
            </w:r>
          </w:p>
          <w:p w14:paraId="77265714" w14:textId="77777777" w:rsidR="00622632" w:rsidRDefault="001803E7" w:rsidP="00CF2E7C">
            <w:pPr>
              <w:rPr>
                <w:rStyle w:val="normaltextrun"/>
                <w:rFonts w:ascii="Mulish" w:hAnsi="Mulish"/>
                <w:color w:val="000000"/>
                <w:sz w:val="22"/>
                <w:szCs w:val="22"/>
                <w:shd w:val="clear" w:color="auto" w:fill="FFFFFF"/>
                <w:lang w:val="en-US"/>
              </w:rPr>
            </w:pPr>
            <w:r w:rsidRPr="001803E7">
              <w:rPr>
                <w:rStyle w:val="normaltextrun"/>
                <w:rFonts w:ascii="Mulish" w:hAnsi="Mulish"/>
                <w:color w:val="000000"/>
                <w:sz w:val="22"/>
                <w:szCs w:val="22"/>
                <w:shd w:val="clear" w:color="auto" w:fill="FFFFFF"/>
                <w:lang w:val="en-US"/>
              </w:rPr>
              <w:t xml:space="preserve">While the provision does not expressly mention environmental or climate-related monitoring, it does not exclude it either. </w:t>
            </w:r>
          </w:p>
          <w:p w14:paraId="5BE95FB7" w14:textId="77777777" w:rsidR="009A5C4E" w:rsidRDefault="001803E7" w:rsidP="00CF2E7C">
            <w:pPr>
              <w:rPr>
                <w:rStyle w:val="normaltextrun"/>
                <w:rFonts w:ascii="Mulish" w:hAnsi="Mulish"/>
                <w:color w:val="000000"/>
                <w:sz w:val="22"/>
                <w:szCs w:val="22"/>
                <w:shd w:val="clear" w:color="auto" w:fill="FFFFFF"/>
                <w:lang w:val="en-US"/>
              </w:rPr>
            </w:pPr>
            <w:r w:rsidRPr="001803E7">
              <w:rPr>
                <w:rStyle w:val="normaltextrun"/>
                <w:rFonts w:ascii="Mulish" w:hAnsi="Mulish"/>
                <w:color w:val="000000"/>
                <w:sz w:val="22"/>
                <w:szCs w:val="22"/>
                <w:shd w:val="clear" w:color="auto" w:fill="FFFFFF"/>
                <w:lang w:val="en-US"/>
              </w:rPr>
              <w:t>Accordingly, Member States may choose to include information on environmental or climate-aligned procurement as part of their broader strategic monitoring framework.</w:t>
            </w:r>
          </w:p>
          <w:p w14:paraId="350926DD" w14:textId="701F551D" w:rsidR="0079126E" w:rsidRDefault="0079126E" w:rsidP="00CF2E7C">
            <w:pPr>
              <w:rPr>
                <w:rStyle w:val="normaltextrun"/>
                <w:rFonts w:ascii="Mulish" w:hAnsi="Mulish"/>
                <w:color w:val="000000"/>
                <w:sz w:val="22"/>
                <w:szCs w:val="22"/>
                <w:shd w:val="clear" w:color="auto" w:fill="FFFFFF"/>
                <w:lang w:val="en-US"/>
              </w:rPr>
            </w:pPr>
            <w:r w:rsidRPr="0079126E">
              <w:rPr>
                <w:rStyle w:val="normaltextrun"/>
                <w:rFonts w:ascii="Mulish" w:hAnsi="Mulish"/>
                <w:color w:val="000000"/>
                <w:sz w:val="22"/>
                <w:szCs w:val="22"/>
                <w:shd w:val="clear" w:color="auto" w:fill="FFFFFF"/>
                <w:lang w:val="en-US"/>
              </w:rPr>
              <w:t xml:space="preserve">This means there is a requirement to publish the general monitoring results to the public, but no </w:t>
            </w:r>
            <w:proofErr w:type="spellStart"/>
            <w:r w:rsidRPr="0079126E">
              <w:rPr>
                <w:rStyle w:val="normaltextrun"/>
                <w:rFonts w:ascii="Mulish" w:hAnsi="Mulish"/>
                <w:color w:val="000000"/>
                <w:sz w:val="22"/>
                <w:szCs w:val="22"/>
                <w:shd w:val="clear" w:color="auto" w:fill="FFFFFF"/>
                <w:lang w:val="en-US"/>
              </w:rPr>
              <w:t>centralised</w:t>
            </w:r>
            <w:proofErr w:type="spellEnd"/>
            <w:r w:rsidRPr="0079126E">
              <w:rPr>
                <w:rStyle w:val="normaltextrun"/>
                <w:rFonts w:ascii="Mulish" w:hAnsi="Mulish"/>
                <w:color w:val="000000"/>
                <w:sz w:val="22"/>
                <w:szCs w:val="22"/>
                <w:shd w:val="clear" w:color="auto" w:fill="FFFFFF"/>
                <w:lang w:val="en-US"/>
              </w:rPr>
              <w:t xml:space="preserve"> EU-level publication point is specified in the Directive itself for climate-aligned procurement data. Instead, it leaves it to the discretion of Member States to determine the appropriate means of publication.</w:t>
            </w:r>
          </w:p>
        </w:tc>
      </w:tr>
    </w:tbl>
    <w:p w14:paraId="3477D7BB" w14:textId="77777777" w:rsidR="009A5C4E" w:rsidRDefault="009A5C4E"/>
    <w:p w14:paraId="541E0FA3" w14:textId="0C01434D" w:rsidR="00950B68" w:rsidRDefault="005E50FD" w:rsidP="00950B68">
      <w:pPr>
        <w:pStyle w:val="Heading2"/>
      </w:pPr>
      <w:bookmarkStart w:id="25" w:name="_Toc198223621"/>
      <w:r>
        <w:t xml:space="preserve">Section 3.9: </w:t>
      </w:r>
      <w:r w:rsidR="00950B68">
        <w:t>Standards and Frameworks</w:t>
      </w:r>
      <w:bookmarkEnd w:id="25"/>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14BAE910" w:rsidR="007802C6" w:rsidRPr="00CF2E7C" w:rsidRDefault="00A27D77" w:rsidP="00CF2E7C">
            <w:pPr>
              <w:rPr>
                <w:rFonts w:ascii="Calibri" w:hAnsi="Calibri" w:cs="Calibri"/>
              </w:rPr>
            </w:pPr>
            <w:r>
              <w:rPr>
                <w:rFonts w:ascii="Calibri" w:hAnsi="Calibri" w:cs="Calibri"/>
              </w:rPr>
              <w:t>X</w:t>
            </w: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618BD032" w:rsidR="007802C6" w:rsidRPr="00CF2E7C" w:rsidRDefault="00A27D77" w:rsidP="00CF2E7C">
            <w:pPr>
              <w:rPr>
                <w:rFonts w:ascii="Calibri" w:hAnsi="Calibri" w:cs="Calibri"/>
              </w:rPr>
            </w:pPr>
            <w:r>
              <w:rPr>
                <w:rFonts w:ascii="Calibri" w:hAnsi="Calibri" w:cs="Calibri"/>
              </w:rPr>
              <w:t>X</w:t>
            </w: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4BBEEFA5" w:rsidR="007802C6" w:rsidRPr="00CF2E7C" w:rsidRDefault="00A27D77" w:rsidP="00CF2E7C">
            <w:pPr>
              <w:rPr>
                <w:rFonts w:ascii="Calibri" w:hAnsi="Calibri" w:cs="Calibri"/>
              </w:rPr>
            </w:pPr>
            <w:r>
              <w:rPr>
                <w:rFonts w:ascii="Calibri" w:hAnsi="Calibri" w:cs="Calibri"/>
              </w:rPr>
              <w:t>X</w:t>
            </w: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6FC72D7" w:rsidR="007802C6" w:rsidRPr="00CF2E7C" w:rsidRDefault="00A27D77" w:rsidP="00CF2E7C">
            <w:pPr>
              <w:rPr>
                <w:rFonts w:ascii="Calibri" w:hAnsi="Calibri" w:cs="Calibri"/>
              </w:rPr>
            </w:pPr>
            <w:r>
              <w:rPr>
                <w:rFonts w:ascii="Calibri" w:hAnsi="Calibri" w:cs="Calibri"/>
              </w:rPr>
              <w:t>X</w:t>
            </w: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4DCEA382" w:rsidR="007802C6" w:rsidRPr="00CF2E7C" w:rsidRDefault="00A27D77" w:rsidP="00CF2E7C">
            <w:pPr>
              <w:rPr>
                <w:rFonts w:ascii="Calibri" w:hAnsi="Calibri" w:cs="Calibri"/>
              </w:rPr>
            </w:pPr>
            <w:r>
              <w:rPr>
                <w:rFonts w:ascii="Calibri" w:hAnsi="Calibri" w:cs="Calibri"/>
              </w:rPr>
              <w:t>X</w:t>
            </w: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0B638061" w:rsidR="007802C6" w:rsidRPr="00CF2E7C" w:rsidRDefault="00A27D77" w:rsidP="00CF2E7C">
            <w:pPr>
              <w:rPr>
                <w:rFonts w:ascii="Calibri" w:hAnsi="Calibri" w:cs="Calibri"/>
              </w:rPr>
            </w:pPr>
            <w:r>
              <w:rPr>
                <w:rFonts w:ascii="Calibri" w:hAnsi="Calibri" w:cs="Calibri"/>
              </w:rPr>
              <w:t>X</w:t>
            </w: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0340CE07" w:rsidR="007802C6" w:rsidRPr="00CF2E7C" w:rsidRDefault="00A27D77" w:rsidP="00CF2E7C">
            <w:pPr>
              <w:rPr>
                <w:rFonts w:ascii="Calibri" w:hAnsi="Calibri" w:cs="Calibri"/>
              </w:rPr>
            </w:pPr>
            <w:r>
              <w:rPr>
                <w:rFonts w:ascii="Calibri" w:hAnsi="Calibri" w:cs="Calibri"/>
              </w:rPr>
              <w:t>X</w:t>
            </w: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682C8C47" w:rsidR="007802C6" w:rsidRPr="00CF2E7C" w:rsidRDefault="00A27D77" w:rsidP="00CF2E7C">
            <w:pPr>
              <w:rPr>
                <w:rFonts w:ascii="Calibri" w:hAnsi="Calibri" w:cs="Calibri"/>
              </w:rPr>
            </w:pPr>
            <w:r>
              <w:rPr>
                <w:rFonts w:ascii="Calibri" w:hAnsi="Calibri" w:cs="Calibri"/>
              </w:rPr>
              <w:t>X</w:t>
            </w: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100E604E" w:rsidR="007802C6" w:rsidRPr="00CF2E7C" w:rsidRDefault="00A27D77" w:rsidP="00CF2E7C">
            <w:pPr>
              <w:rPr>
                <w:rFonts w:ascii="Calibri" w:hAnsi="Calibri" w:cs="Calibri"/>
              </w:rPr>
            </w:pPr>
            <w:r>
              <w:rPr>
                <w:rFonts w:ascii="Calibri" w:hAnsi="Calibri" w:cs="Calibri"/>
              </w:rPr>
              <w:t>X</w:t>
            </w: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12915905" w:rsidR="007802C6" w:rsidRPr="00CF2E7C" w:rsidRDefault="00A27D77" w:rsidP="00CF2E7C">
            <w:pPr>
              <w:rPr>
                <w:rFonts w:ascii="Calibri" w:hAnsi="Calibri" w:cs="Calibri"/>
              </w:rPr>
            </w:pPr>
            <w:r>
              <w:rPr>
                <w:rFonts w:ascii="Calibri" w:hAnsi="Calibri" w:cs="Calibri"/>
              </w:rPr>
              <w:t>X</w:t>
            </w: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6D10CFA2" w:rsidR="007802C6" w:rsidRPr="00CF2E7C" w:rsidRDefault="00A27D77" w:rsidP="00CF2E7C">
            <w:pPr>
              <w:rPr>
                <w:rFonts w:ascii="Calibri" w:hAnsi="Calibri" w:cs="Calibri"/>
              </w:rPr>
            </w:pPr>
            <w:r>
              <w:rPr>
                <w:rFonts w:ascii="Calibri" w:hAnsi="Calibri" w:cs="Calibri"/>
              </w:rPr>
              <w:t>X</w:t>
            </w: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38FA6A3F" w:rsidR="007802C6" w:rsidRPr="00CF2E7C" w:rsidRDefault="00A27D77" w:rsidP="00CF2E7C">
            <w:pPr>
              <w:rPr>
                <w:rFonts w:ascii="Calibri" w:hAnsi="Calibri" w:cs="Calibri"/>
              </w:rPr>
            </w:pPr>
            <w:r>
              <w:rPr>
                <w:rFonts w:ascii="Calibri" w:hAnsi="Calibri" w:cs="Calibri"/>
              </w:rPr>
              <w:t>X</w:t>
            </w: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9CAB80B" w:rsidR="007802C6" w:rsidRPr="00CF2E7C" w:rsidRDefault="00A27D77" w:rsidP="00CF2E7C">
            <w:pPr>
              <w:rPr>
                <w:rFonts w:ascii="Calibri" w:hAnsi="Calibri" w:cs="Calibri"/>
              </w:rPr>
            </w:pPr>
            <w:r>
              <w:rPr>
                <w:rFonts w:ascii="Calibri" w:hAnsi="Calibri" w:cs="Calibri"/>
              </w:rPr>
              <w:t>X</w:t>
            </w: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10370EF" w:rsidR="007802C6" w:rsidRPr="00CF2E7C" w:rsidRDefault="00A27D77" w:rsidP="00CF2E7C">
            <w:pPr>
              <w:rPr>
                <w:rFonts w:ascii="Calibri" w:hAnsi="Calibri" w:cs="Calibri"/>
              </w:rPr>
            </w:pPr>
            <w:r>
              <w:rPr>
                <w:rFonts w:ascii="Calibri" w:hAnsi="Calibri" w:cs="Calibri"/>
              </w:rPr>
              <w:t>X</w:t>
            </w: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2C10733E" w:rsidR="007802C6" w:rsidRPr="00CF2E7C" w:rsidRDefault="00A27D77" w:rsidP="00CF2E7C">
            <w:pPr>
              <w:rPr>
                <w:rFonts w:ascii="Calibri" w:hAnsi="Calibri" w:cs="Calibri"/>
              </w:rPr>
            </w:pPr>
            <w:r>
              <w:rPr>
                <w:rFonts w:ascii="Calibri" w:hAnsi="Calibri" w:cs="Calibri"/>
              </w:rPr>
              <w:t>X</w:t>
            </w: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0E21D317" w:rsidR="007802C6" w:rsidRPr="00CF2E7C" w:rsidRDefault="00A27D77" w:rsidP="00CF2E7C">
            <w:pPr>
              <w:rPr>
                <w:rFonts w:ascii="Calibri" w:hAnsi="Calibri" w:cs="Calibri"/>
              </w:rPr>
            </w:pPr>
            <w:r>
              <w:rPr>
                <w:rFonts w:ascii="Calibri" w:hAnsi="Calibri" w:cs="Calibri"/>
              </w:rPr>
              <w:t>X</w:t>
            </w: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42ABCA5C" w:rsidR="007802C6" w:rsidRPr="00CF2E7C" w:rsidRDefault="00A27D77" w:rsidP="00CF2E7C">
            <w:pPr>
              <w:rPr>
                <w:rFonts w:ascii="Calibri" w:hAnsi="Calibri" w:cs="Calibri"/>
              </w:rPr>
            </w:pPr>
            <w:r>
              <w:rPr>
                <w:rFonts w:ascii="Calibri" w:hAnsi="Calibri" w:cs="Calibri"/>
              </w:rPr>
              <w:t>X</w:t>
            </w: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537EFD51" w:rsidR="007802C6" w:rsidRPr="00CF2E7C" w:rsidRDefault="00A27D77" w:rsidP="00CF2E7C">
            <w:pPr>
              <w:rPr>
                <w:rFonts w:ascii="Calibri" w:hAnsi="Calibri" w:cs="Calibri"/>
              </w:rPr>
            </w:pPr>
            <w:r>
              <w:rPr>
                <w:rFonts w:ascii="Calibri" w:hAnsi="Calibri" w:cs="Calibri"/>
              </w:rPr>
              <w:t>X</w:t>
            </w: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49C8FAB8" w:rsidR="007802C6" w:rsidRPr="00CF2E7C" w:rsidRDefault="00A27D77" w:rsidP="00CF2E7C">
            <w:pPr>
              <w:rPr>
                <w:rFonts w:ascii="Calibri" w:hAnsi="Calibri" w:cs="Calibri"/>
              </w:rPr>
            </w:pPr>
            <w:r>
              <w:rPr>
                <w:rFonts w:ascii="Calibri" w:hAnsi="Calibri" w:cs="Calibri"/>
              </w:rPr>
              <w:t>X</w:t>
            </w: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3E474D12" w:rsidR="007802C6" w:rsidRPr="00CF2E7C" w:rsidRDefault="00A27D77" w:rsidP="00CF2E7C">
            <w:pPr>
              <w:rPr>
                <w:rFonts w:ascii="Calibri" w:hAnsi="Calibri" w:cs="Calibri"/>
              </w:rPr>
            </w:pPr>
            <w:r>
              <w:rPr>
                <w:rFonts w:ascii="Calibri" w:hAnsi="Calibri" w:cs="Calibri"/>
              </w:rPr>
              <w:t>X</w:t>
            </w: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1FECFFF8" w:rsidR="007802C6" w:rsidRPr="00CF2E7C" w:rsidRDefault="008C7A98" w:rsidP="00CF2E7C">
            <w:pPr>
              <w:rPr>
                <w:rFonts w:ascii="Calibri" w:hAnsi="Calibri" w:cs="Calibri"/>
              </w:rPr>
            </w:pPr>
            <w:r>
              <w:rPr>
                <w:rFonts w:ascii="Calibri" w:hAnsi="Calibri" w:cs="Calibri"/>
              </w:rPr>
              <w:t>X</w:t>
            </w:r>
          </w:p>
        </w:tc>
        <w:tc>
          <w:tcPr>
            <w:tcW w:w="1716" w:type="dxa"/>
            <w:vAlign w:val="center"/>
          </w:tcPr>
          <w:p w14:paraId="3BE47035" w14:textId="7553839C"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396C6249" w:rsidR="007802C6" w:rsidRPr="00CF2E7C" w:rsidRDefault="00A27D77" w:rsidP="00CF2E7C">
            <w:pPr>
              <w:rPr>
                <w:rFonts w:ascii="Calibri" w:hAnsi="Calibri" w:cs="Calibri"/>
              </w:rPr>
            </w:pPr>
            <w:r>
              <w:rPr>
                <w:rFonts w:ascii="Calibri" w:hAnsi="Calibri" w:cs="Calibri"/>
              </w:rPr>
              <w:t>X</w:t>
            </w: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3E999AFD" w:rsidR="000C3FE4" w:rsidRPr="00CF2E7C" w:rsidRDefault="000C3FE4"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6" w:name="_Toc198223622"/>
      <w:r>
        <w:lastRenderedPageBreak/>
        <w:t>Domain 4: Carbon Credits</w:t>
      </w:r>
      <w:bookmarkEnd w:id="26"/>
    </w:p>
    <w:p w14:paraId="25C35D8C" w14:textId="52BD279F" w:rsidR="001C0769" w:rsidRPr="001C0769" w:rsidRDefault="000428FA" w:rsidP="001C0769">
      <w:pPr>
        <w:pStyle w:val="Heading2"/>
      </w:pPr>
      <w:bookmarkStart w:id="27" w:name="_Toc198223623"/>
      <w:r>
        <w:t xml:space="preserve">Section </w:t>
      </w:r>
      <w:r w:rsidR="00B20D58">
        <w:t>4</w:t>
      </w:r>
      <w:r>
        <w:t xml:space="preserve">.1: </w:t>
      </w:r>
      <w:r w:rsidR="001C0769">
        <w:t>Who is being targeted?</w:t>
      </w:r>
      <w:bookmarkEnd w:id="27"/>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6840C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8"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8"/>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9" w:name="_Toc198223625"/>
      <w:r>
        <w:t xml:space="preserve">Section </w:t>
      </w:r>
      <w:r w:rsidR="00B20D58">
        <w:t>4</w:t>
      </w:r>
      <w:r>
        <w:t xml:space="preserve">.3: </w:t>
      </w:r>
      <w:r w:rsidR="001C0769" w:rsidRPr="009C4D10">
        <w:t>Governance of Carbon Credits</w:t>
      </w:r>
      <w:bookmarkEnd w:id="29"/>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30" w:name="_4.3.1_Governance_of"/>
            <w:bookmarkEnd w:id="30"/>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1" w:name="_Toc198223626"/>
      <w:r>
        <w:rPr>
          <w:lang w:eastAsia="en-GB"/>
        </w:rPr>
        <w:t xml:space="preserve">Section 4.4: </w:t>
      </w:r>
      <w:r w:rsidR="00F01EE6">
        <w:rPr>
          <w:lang w:eastAsia="en-GB"/>
        </w:rPr>
        <w:t>Policy goal-specific questions</w:t>
      </w:r>
      <w:bookmarkEnd w:id="31"/>
    </w:p>
    <w:p w14:paraId="2A9A2B53" w14:textId="264B0D10" w:rsidR="001C0769" w:rsidRPr="009C4D10" w:rsidRDefault="001C0769" w:rsidP="00B20D58">
      <w:pPr>
        <w:pStyle w:val="Heading3"/>
        <w:rPr>
          <w:rFonts w:eastAsia="Times New Roman"/>
          <w:kern w:val="0"/>
          <w:lang w:eastAsia="en-GB"/>
          <w14:ligatures w14:val="none"/>
        </w:rPr>
      </w:pPr>
      <w:bookmarkStart w:id="32" w:name="_Section_1:_Criteria"/>
      <w:bookmarkStart w:id="33" w:name="_Toc198223627"/>
      <w:bookmarkEnd w:id="32"/>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3"/>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4" w:name="_Section_2:_Carbon"/>
      <w:bookmarkStart w:id="35" w:name="_Toc198223628"/>
      <w:bookmarkEnd w:id="34"/>
      <w:r>
        <w:t xml:space="preserve">Section </w:t>
      </w:r>
      <w:r w:rsidR="00B20D58">
        <w:t>4</w:t>
      </w:r>
      <w:r w:rsidR="00D2196F">
        <w:t>.4.2</w:t>
      </w:r>
      <w:r>
        <w:t xml:space="preserve">: </w:t>
      </w:r>
      <w:r w:rsidRPr="009C4D10">
        <w:t>Carbon Credit Usage in Compliance Market and Voluntary Carbon Market</w:t>
      </w:r>
      <w:bookmarkEnd w:id="35"/>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6" w:name="_Section_3:_Operationalizing"/>
      <w:bookmarkStart w:id="37" w:name="_Toc198223629"/>
      <w:bookmarkEnd w:id="36"/>
      <w:r>
        <w:t xml:space="preserve">Section </w:t>
      </w:r>
      <w:r w:rsidR="00B20D58">
        <w:t>4</w:t>
      </w:r>
      <w:r w:rsidR="004A54B3">
        <w:t>.4.3</w:t>
      </w:r>
      <w:r>
        <w:t xml:space="preserve">: </w:t>
      </w:r>
      <w:r w:rsidRPr="009C4D10">
        <w:t>Operationalizing Paris Agreement Article 6 provisions as they apply to carbon credits</w:t>
      </w:r>
      <w:bookmarkEnd w:id="37"/>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8" w:name="_Section_4:_Exchange"/>
      <w:bookmarkStart w:id="39" w:name="_Toc198223630"/>
      <w:bookmarkEnd w:id="38"/>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9"/>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40" w:name="_Toc198223631"/>
      <w:r w:rsidRPr="009C4D10">
        <w:lastRenderedPageBreak/>
        <w:t>Domain 5: Prudential Tools</w:t>
      </w:r>
      <w:bookmarkEnd w:id="40"/>
    </w:p>
    <w:p w14:paraId="3E16913F" w14:textId="21F34EF6" w:rsidR="00AF3FC6" w:rsidRPr="00AF3FC6" w:rsidRDefault="00455E1B" w:rsidP="00AF3FC6">
      <w:pPr>
        <w:pStyle w:val="Heading2"/>
      </w:pPr>
      <w:bookmarkStart w:id="41" w:name="_Toc198223632"/>
      <w:r>
        <w:t xml:space="preserve">Section 5.1: </w:t>
      </w:r>
      <w:r w:rsidR="00AF3FC6" w:rsidRPr="009C4D10">
        <w:t>Who is being targeted?</w:t>
      </w:r>
      <w:bookmarkEnd w:id="41"/>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6840C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2" w:name="_Toc198223633"/>
      <w:r>
        <w:rPr>
          <w:lang w:val="en-SG"/>
        </w:rPr>
        <w:lastRenderedPageBreak/>
        <w:t xml:space="preserve">Section 5.2: </w:t>
      </w:r>
      <w:r w:rsidR="00FE66B1" w:rsidRPr="009C4D10">
        <w:rPr>
          <w:lang w:val="en-SG"/>
        </w:rPr>
        <w:t>Policy goal or function of the policy tool</w:t>
      </w:r>
      <w:bookmarkEnd w:id="42"/>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3" w:name="_Section_5.1:_Risk"/>
      <w:bookmarkStart w:id="44" w:name="_Toc198223634"/>
      <w:bookmarkEnd w:id="43"/>
      <w:r>
        <w:t>Section 5.</w:t>
      </w:r>
      <w:r w:rsidR="00455E1B">
        <w:t>2.</w:t>
      </w:r>
      <w:r>
        <w:t xml:space="preserve">1: </w:t>
      </w:r>
      <w:r w:rsidR="00B24E10" w:rsidRPr="009C4D10">
        <w:t>Risk management and governance</w:t>
      </w:r>
      <w:bookmarkEnd w:id="44"/>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5" w:name="_5.3.1_Risk_management"/>
            <w:bookmarkEnd w:id="45"/>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6" w:name="_Section_5.2:_Scenario"/>
      <w:bookmarkStart w:id="47" w:name="_Toc198223635"/>
      <w:bookmarkEnd w:id="46"/>
      <w:r>
        <w:t>Section 5.2</w:t>
      </w:r>
      <w:r w:rsidR="00455E1B">
        <w:t>.2</w:t>
      </w:r>
      <w:r>
        <w:t xml:space="preserve">: </w:t>
      </w:r>
      <w:r w:rsidRPr="009C4D10">
        <w:t>Scenario analysis and stress-testing</w:t>
      </w:r>
      <w:bookmarkEnd w:id="47"/>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8" w:name="_5.3.2_Scenario_analysis"/>
            <w:bookmarkEnd w:id="48"/>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9" w:name="_Section_5.3:_Capital"/>
      <w:bookmarkStart w:id="50" w:name="_Toc198223636"/>
      <w:bookmarkEnd w:id="49"/>
      <w:r>
        <w:t>Section 5.</w:t>
      </w:r>
      <w:r w:rsidR="00455E1B">
        <w:t>2.</w:t>
      </w:r>
      <w:r>
        <w:t xml:space="preserve">3: </w:t>
      </w:r>
      <w:r w:rsidRPr="009C4D10">
        <w:t>Capital and Liquidity Requirements</w:t>
      </w:r>
      <w:bookmarkEnd w:id="50"/>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1" w:name="_5.3.3_Capital_and"/>
            <w:bookmarkEnd w:id="51"/>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2" w:name="_Toc198223637"/>
      <w:r>
        <w:t xml:space="preserve">Section 5.3: </w:t>
      </w:r>
      <w:r w:rsidR="009E1E61">
        <w:t>Standards and Frameworks</w:t>
      </w:r>
      <w:bookmarkEnd w:id="52"/>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3" w:name="_Toc198223638"/>
      <w:r>
        <w:lastRenderedPageBreak/>
        <w:t>Domain 6: Methane Abatement</w:t>
      </w:r>
      <w:bookmarkEnd w:id="53"/>
    </w:p>
    <w:p w14:paraId="144EDD37" w14:textId="77777777" w:rsidR="002F0752" w:rsidRDefault="002F0752" w:rsidP="002F0752">
      <w:pPr>
        <w:pStyle w:val="Heading2"/>
        <w:rPr>
          <w:rFonts w:ascii="Calibri" w:eastAsia="Calibri" w:hAnsi="Calibri" w:cs="Calibri"/>
          <w:color w:val="000000" w:themeColor="text1"/>
        </w:rPr>
      </w:pPr>
      <w:bookmarkStart w:id="54" w:name="_Toc198223639"/>
      <w:r>
        <w:t>Section 6.1: Who is being targeted?</w:t>
      </w:r>
      <w:bookmarkEnd w:id="54"/>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6840C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5" w:name="_Toc198223640"/>
      <w:r>
        <w:rPr>
          <w:rFonts w:eastAsia="Arial"/>
        </w:rPr>
        <w:t xml:space="preserve">Section 6.2: </w:t>
      </w:r>
      <w:r w:rsidRPr="26567C6B">
        <w:rPr>
          <w:rFonts w:eastAsia="Arial"/>
        </w:rPr>
        <w:t>National targets</w:t>
      </w:r>
      <w:bookmarkEnd w:id="55"/>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6" w:name="_Toc198223641"/>
      <w:r>
        <w:rPr>
          <w:rFonts w:eastAsia="Arial"/>
        </w:rPr>
        <w:lastRenderedPageBreak/>
        <w:t>Section 6.3: Methane Pricing</w:t>
      </w:r>
      <w:bookmarkEnd w:id="56"/>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7" w:name="_Toc198223642"/>
      <w:r>
        <w:rPr>
          <w:rFonts w:eastAsia="Arial"/>
        </w:rPr>
        <w:t xml:space="preserve">Section 6.4: </w:t>
      </w:r>
      <w:r w:rsidRPr="26567C6B">
        <w:rPr>
          <w:rFonts w:eastAsia="Arial"/>
        </w:rPr>
        <w:t>Source-specific rules</w:t>
      </w:r>
      <w:bookmarkEnd w:id="57"/>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8" w:name="_Toc198223643"/>
      <w:r>
        <w:rPr>
          <w:rFonts w:eastAsia="Arial"/>
        </w:rPr>
        <w:t xml:space="preserve">6.4.1 </w:t>
      </w:r>
      <w:r w:rsidRPr="26567C6B">
        <w:rPr>
          <w:rFonts w:eastAsia="Arial"/>
        </w:rPr>
        <w:t>Oil and Gas-Related Methane Emissions</w:t>
      </w:r>
      <w:bookmarkEnd w:id="58"/>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9" w:name="_Toc198223644"/>
      <w:r>
        <w:rPr>
          <w:rFonts w:eastAsia="Arial"/>
        </w:rPr>
        <w:t>6.</w:t>
      </w:r>
      <w:r w:rsidRPr="26567C6B">
        <w:rPr>
          <w:rFonts w:eastAsia="Arial"/>
        </w:rPr>
        <w:t>4.2 Coal-Related Methane Emissions</w:t>
      </w:r>
      <w:bookmarkEnd w:id="59"/>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0" w:name="_Toc198223645"/>
      <w:r>
        <w:rPr>
          <w:rFonts w:eastAsia="Arial"/>
        </w:rPr>
        <w:t>6.</w:t>
      </w:r>
      <w:r w:rsidRPr="26567C6B">
        <w:rPr>
          <w:rFonts w:eastAsia="Arial"/>
        </w:rPr>
        <w:t>4.3 Agriculture-Related Methane Emissions</w:t>
      </w:r>
      <w:bookmarkEnd w:id="60"/>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1"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1"/>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C996063" w14:textId="77777777" w:rsidR="00F31BE7" w:rsidRDefault="00F31BE7" w:rsidP="00874E39">
      <w:r>
        <w:separator/>
      </w:r>
    </w:p>
  </w:endnote>
  <w:endnote w:type="continuationSeparator" w:id="0">
    <w:p w14:paraId="482ECB20" w14:textId="77777777" w:rsidR="00F31BE7" w:rsidRDefault="00F31BE7" w:rsidP="00874E39">
      <w:r>
        <w:continuationSeparator/>
      </w:r>
    </w:p>
  </w:endnote>
  <w:endnote w:type="continuationNotice" w:id="1">
    <w:p w14:paraId="3ADEAF35" w14:textId="77777777" w:rsidR="00F31BE7" w:rsidRDefault="00F31BE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D83EFE8" w14:textId="77777777" w:rsidR="00F31BE7" w:rsidRDefault="00F31BE7" w:rsidP="00874E39">
      <w:r>
        <w:separator/>
      </w:r>
    </w:p>
  </w:footnote>
  <w:footnote w:type="continuationSeparator" w:id="0">
    <w:p w14:paraId="7D8BB597" w14:textId="77777777" w:rsidR="00F31BE7" w:rsidRDefault="00F31BE7" w:rsidP="00874E39">
      <w:r>
        <w:continuationSeparator/>
      </w:r>
    </w:p>
  </w:footnote>
  <w:footnote w:type="continuationNotice" w:id="1">
    <w:p w14:paraId="04975B6C" w14:textId="77777777" w:rsidR="00F31BE7" w:rsidRDefault="00F31BE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DB16622"/>
    <w:multiLevelType w:val="hybridMultilevel"/>
    <w:tmpl w:val="92F0AC6C"/>
    <w:lvl w:ilvl="0" w:tplc="AC06FA4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89D16DD"/>
    <w:multiLevelType w:val="hybridMultilevel"/>
    <w:tmpl w:val="C0446F3E"/>
    <w:lvl w:ilvl="0" w:tplc="AC06FA4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6D2248F"/>
    <w:multiLevelType w:val="hybridMultilevel"/>
    <w:tmpl w:val="50844F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50"/>
  </w:num>
  <w:num w:numId="12" w16cid:durableId="1344891410">
    <w:abstractNumId w:val="10"/>
  </w:num>
  <w:num w:numId="13" w16cid:durableId="2023899324">
    <w:abstractNumId w:val="12"/>
  </w:num>
  <w:num w:numId="14" w16cid:durableId="430587014">
    <w:abstractNumId w:val="8"/>
  </w:num>
  <w:num w:numId="15" w16cid:durableId="1742869061">
    <w:abstractNumId w:val="31"/>
  </w:num>
  <w:num w:numId="16" w16cid:durableId="1996450437">
    <w:abstractNumId w:val="20"/>
  </w:num>
  <w:num w:numId="17" w16cid:durableId="1529031027">
    <w:abstractNumId w:val="9"/>
  </w:num>
  <w:num w:numId="18" w16cid:durableId="568614617">
    <w:abstractNumId w:val="18"/>
  </w:num>
  <w:num w:numId="19" w16cid:durableId="1530605858">
    <w:abstractNumId w:val="44"/>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6"/>
  </w:num>
  <w:num w:numId="25" w16cid:durableId="1659531047">
    <w:abstractNumId w:val="45"/>
  </w:num>
  <w:num w:numId="26" w16cid:durableId="752774403">
    <w:abstractNumId w:val="23"/>
  </w:num>
  <w:num w:numId="27" w16cid:durableId="347872198">
    <w:abstractNumId w:val="7"/>
  </w:num>
  <w:num w:numId="28" w16cid:durableId="537133110">
    <w:abstractNumId w:val="13"/>
  </w:num>
  <w:num w:numId="29" w16cid:durableId="1632318729">
    <w:abstractNumId w:val="47"/>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1"/>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6"/>
  </w:num>
  <w:num w:numId="45" w16cid:durableId="1554191892">
    <w:abstractNumId w:val="41"/>
  </w:num>
  <w:num w:numId="46" w16cid:durableId="947811845">
    <w:abstractNumId w:val="49"/>
  </w:num>
  <w:num w:numId="47" w16cid:durableId="342588554">
    <w:abstractNumId w:val="26"/>
  </w:num>
  <w:num w:numId="48" w16cid:durableId="318391343">
    <w:abstractNumId w:val="37"/>
  </w:num>
  <w:num w:numId="49" w16cid:durableId="533231076">
    <w:abstractNumId w:val="48"/>
  </w:num>
  <w:num w:numId="50" w16cid:durableId="766657552">
    <w:abstractNumId w:val="5"/>
  </w:num>
  <w:num w:numId="51" w16cid:durableId="156305287">
    <w:abstractNumId w:val="43"/>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29B"/>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046"/>
    <w:rsid w:val="00025699"/>
    <w:rsid w:val="00027241"/>
    <w:rsid w:val="00027314"/>
    <w:rsid w:val="0002749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574C"/>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3FE4"/>
    <w:rsid w:val="000C52F1"/>
    <w:rsid w:val="000C5531"/>
    <w:rsid w:val="000C6097"/>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C6D"/>
    <w:rsid w:val="000E3D35"/>
    <w:rsid w:val="000E6110"/>
    <w:rsid w:val="000E6A6A"/>
    <w:rsid w:val="000E7A8A"/>
    <w:rsid w:val="000F0E71"/>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171"/>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3DE"/>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6C47"/>
    <w:rsid w:val="00172B85"/>
    <w:rsid w:val="00173D7C"/>
    <w:rsid w:val="0017449C"/>
    <w:rsid w:val="001749C3"/>
    <w:rsid w:val="00176011"/>
    <w:rsid w:val="00180289"/>
    <w:rsid w:val="001803E7"/>
    <w:rsid w:val="0018179D"/>
    <w:rsid w:val="00182288"/>
    <w:rsid w:val="00182646"/>
    <w:rsid w:val="00183170"/>
    <w:rsid w:val="00184609"/>
    <w:rsid w:val="00185C8C"/>
    <w:rsid w:val="001904E6"/>
    <w:rsid w:val="00191059"/>
    <w:rsid w:val="001919D8"/>
    <w:rsid w:val="00192EC4"/>
    <w:rsid w:val="0019340B"/>
    <w:rsid w:val="001953A3"/>
    <w:rsid w:val="0019639C"/>
    <w:rsid w:val="001978F0"/>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3805"/>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17AEA"/>
    <w:rsid w:val="002200DC"/>
    <w:rsid w:val="00220F36"/>
    <w:rsid w:val="00222757"/>
    <w:rsid w:val="00222DFA"/>
    <w:rsid w:val="00222E01"/>
    <w:rsid w:val="002234FA"/>
    <w:rsid w:val="0022414E"/>
    <w:rsid w:val="00224D9E"/>
    <w:rsid w:val="00226295"/>
    <w:rsid w:val="00226338"/>
    <w:rsid w:val="002263AE"/>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4AB8"/>
    <w:rsid w:val="00246630"/>
    <w:rsid w:val="00247DE7"/>
    <w:rsid w:val="002500FA"/>
    <w:rsid w:val="00250ED8"/>
    <w:rsid w:val="00250F54"/>
    <w:rsid w:val="0025129B"/>
    <w:rsid w:val="0025449C"/>
    <w:rsid w:val="002552C9"/>
    <w:rsid w:val="0025765F"/>
    <w:rsid w:val="00257732"/>
    <w:rsid w:val="002624CD"/>
    <w:rsid w:val="00264CBC"/>
    <w:rsid w:val="0026588F"/>
    <w:rsid w:val="0026642F"/>
    <w:rsid w:val="002679A5"/>
    <w:rsid w:val="0027067C"/>
    <w:rsid w:val="00270A4D"/>
    <w:rsid w:val="00272BDD"/>
    <w:rsid w:val="00272D9A"/>
    <w:rsid w:val="002737EF"/>
    <w:rsid w:val="00274335"/>
    <w:rsid w:val="00274864"/>
    <w:rsid w:val="00274B22"/>
    <w:rsid w:val="00277FC5"/>
    <w:rsid w:val="00284ADD"/>
    <w:rsid w:val="00285DA7"/>
    <w:rsid w:val="00286683"/>
    <w:rsid w:val="00286FE0"/>
    <w:rsid w:val="002878A1"/>
    <w:rsid w:val="002912CD"/>
    <w:rsid w:val="00292B8F"/>
    <w:rsid w:val="002938DE"/>
    <w:rsid w:val="00293AAA"/>
    <w:rsid w:val="00295770"/>
    <w:rsid w:val="00295DDD"/>
    <w:rsid w:val="00296362"/>
    <w:rsid w:val="002968A6"/>
    <w:rsid w:val="00296D90"/>
    <w:rsid w:val="0029703E"/>
    <w:rsid w:val="002A0239"/>
    <w:rsid w:val="002A150B"/>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4D08"/>
    <w:rsid w:val="002D55D7"/>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483"/>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5CD2"/>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3737E"/>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11B4"/>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2BB9"/>
    <w:rsid w:val="003B3C0F"/>
    <w:rsid w:val="003B4DD6"/>
    <w:rsid w:val="003B4F81"/>
    <w:rsid w:val="003B539A"/>
    <w:rsid w:val="003B5B6C"/>
    <w:rsid w:val="003B66F6"/>
    <w:rsid w:val="003B7854"/>
    <w:rsid w:val="003B785A"/>
    <w:rsid w:val="003C16DA"/>
    <w:rsid w:val="003C1E57"/>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3F70CB"/>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3C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0E84"/>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32B"/>
    <w:rsid w:val="005120F3"/>
    <w:rsid w:val="00512D50"/>
    <w:rsid w:val="00512EA5"/>
    <w:rsid w:val="005133A4"/>
    <w:rsid w:val="00513425"/>
    <w:rsid w:val="0051388A"/>
    <w:rsid w:val="00513D57"/>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4E8B"/>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0075"/>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5D2"/>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1EB7"/>
    <w:rsid w:val="005B355B"/>
    <w:rsid w:val="005B4539"/>
    <w:rsid w:val="005C327C"/>
    <w:rsid w:val="005C4420"/>
    <w:rsid w:val="005C5681"/>
    <w:rsid w:val="005C6A1D"/>
    <w:rsid w:val="005C765C"/>
    <w:rsid w:val="005C7DF6"/>
    <w:rsid w:val="005D02C9"/>
    <w:rsid w:val="005D1868"/>
    <w:rsid w:val="005D31CE"/>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C18"/>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4561"/>
    <w:rsid w:val="00615CDA"/>
    <w:rsid w:val="00616D73"/>
    <w:rsid w:val="00617678"/>
    <w:rsid w:val="00620CAC"/>
    <w:rsid w:val="006225F1"/>
    <w:rsid w:val="00622632"/>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317"/>
    <w:rsid w:val="006746D5"/>
    <w:rsid w:val="0067532A"/>
    <w:rsid w:val="00675752"/>
    <w:rsid w:val="006770B7"/>
    <w:rsid w:val="006801E4"/>
    <w:rsid w:val="00681CE6"/>
    <w:rsid w:val="00683A9D"/>
    <w:rsid w:val="00683DB5"/>
    <w:rsid w:val="006840CD"/>
    <w:rsid w:val="00685A4F"/>
    <w:rsid w:val="006878AC"/>
    <w:rsid w:val="00690B2A"/>
    <w:rsid w:val="006936EF"/>
    <w:rsid w:val="006943E9"/>
    <w:rsid w:val="00694A4F"/>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83F"/>
    <w:rsid w:val="006D2944"/>
    <w:rsid w:val="006D3391"/>
    <w:rsid w:val="006D43AA"/>
    <w:rsid w:val="006D4C70"/>
    <w:rsid w:val="006D5605"/>
    <w:rsid w:val="006D7FB8"/>
    <w:rsid w:val="006E114C"/>
    <w:rsid w:val="006E18FD"/>
    <w:rsid w:val="006E23C1"/>
    <w:rsid w:val="006E37C9"/>
    <w:rsid w:val="006E43A6"/>
    <w:rsid w:val="006E5C5F"/>
    <w:rsid w:val="006E5EE5"/>
    <w:rsid w:val="006E62B2"/>
    <w:rsid w:val="006E6B58"/>
    <w:rsid w:val="006E7195"/>
    <w:rsid w:val="006E7DC6"/>
    <w:rsid w:val="006F0E83"/>
    <w:rsid w:val="006F13BA"/>
    <w:rsid w:val="006F2FC8"/>
    <w:rsid w:val="006F344F"/>
    <w:rsid w:val="006F3CBF"/>
    <w:rsid w:val="006F4C58"/>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26E"/>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0770"/>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367B"/>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5BAA"/>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3BBC"/>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36"/>
    <w:rsid w:val="00887186"/>
    <w:rsid w:val="00887A64"/>
    <w:rsid w:val="00890032"/>
    <w:rsid w:val="0089120B"/>
    <w:rsid w:val="008915CB"/>
    <w:rsid w:val="00891DBD"/>
    <w:rsid w:val="0089355A"/>
    <w:rsid w:val="00894D8E"/>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1516"/>
    <w:rsid w:val="008C2AC5"/>
    <w:rsid w:val="008C2E61"/>
    <w:rsid w:val="008C4722"/>
    <w:rsid w:val="008C5525"/>
    <w:rsid w:val="008C718C"/>
    <w:rsid w:val="008C7352"/>
    <w:rsid w:val="008C78AD"/>
    <w:rsid w:val="008C7A98"/>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13F7"/>
    <w:rsid w:val="008F1EEF"/>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9D3"/>
    <w:rsid w:val="00913BB1"/>
    <w:rsid w:val="00913FA1"/>
    <w:rsid w:val="00914A85"/>
    <w:rsid w:val="00915243"/>
    <w:rsid w:val="00915AD5"/>
    <w:rsid w:val="00916A78"/>
    <w:rsid w:val="009177A2"/>
    <w:rsid w:val="00917876"/>
    <w:rsid w:val="00920154"/>
    <w:rsid w:val="00920AF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2F78"/>
    <w:rsid w:val="009462FE"/>
    <w:rsid w:val="00946B7A"/>
    <w:rsid w:val="00946D94"/>
    <w:rsid w:val="009471BC"/>
    <w:rsid w:val="00947D8F"/>
    <w:rsid w:val="00950AB0"/>
    <w:rsid w:val="00950B68"/>
    <w:rsid w:val="00951BBE"/>
    <w:rsid w:val="0095260A"/>
    <w:rsid w:val="00952AB2"/>
    <w:rsid w:val="00952C63"/>
    <w:rsid w:val="00952FEB"/>
    <w:rsid w:val="00953E75"/>
    <w:rsid w:val="00955160"/>
    <w:rsid w:val="009556EA"/>
    <w:rsid w:val="00955BFF"/>
    <w:rsid w:val="00956390"/>
    <w:rsid w:val="0095736B"/>
    <w:rsid w:val="00960F14"/>
    <w:rsid w:val="009612D3"/>
    <w:rsid w:val="00962064"/>
    <w:rsid w:val="00962F14"/>
    <w:rsid w:val="00963A39"/>
    <w:rsid w:val="00963DC5"/>
    <w:rsid w:val="009649F8"/>
    <w:rsid w:val="00965F2B"/>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3D96"/>
    <w:rsid w:val="009B6F1E"/>
    <w:rsid w:val="009B761C"/>
    <w:rsid w:val="009B7EAD"/>
    <w:rsid w:val="009C189E"/>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51BF"/>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27D77"/>
    <w:rsid w:val="00A301E4"/>
    <w:rsid w:val="00A31198"/>
    <w:rsid w:val="00A323BB"/>
    <w:rsid w:val="00A33284"/>
    <w:rsid w:val="00A34E4A"/>
    <w:rsid w:val="00A36AA7"/>
    <w:rsid w:val="00A40404"/>
    <w:rsid w:val="00A42235"/>
    <w:rsid w:val="00A42858"/>
    <w:rsid w:val="00A43199"/>
    <w:rsid w:val="00A43AFC"/>
    <w:rsid w:val="00A445CD"/>
    <w:rsid w:val="00A45776"/>
    <w:rsid w:val="00A45A6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9A7"/>
    <w:rsid w:val="00A90D91"/>
    <w:rsid w:val="00A93112"/>
    <w:rsid w:val="00A932DE"/>
    <w:rsid w:val="00A9656E"/>
    <w:rsid w:val="00AA0C8B"/>
    <w:rsid w:val="00AA186B"/>
    <w:rsid w:val="00AA38F6"/>
    <w:rsid w:val="00AA4965"/>
    <w:rsid w:val="00AA6DDB"/>
    <w:rsid w:val="00AA7997"/>
    <w:rsid w:val="00AA7A9D"/>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467"/>
    <w:rsid w:val="00AE7C5F"/>
    <w:rsid w:val="00AF08A8"/>
    <w:rsid w:val="00AF2019"/>
    <w:rsid w:val="00AF26B7"/>
    <w:rsid w:val="00AF2C89"/>
    <w:rsid w:val="00AF30FD"/>
    <w:rsid w:val="00AF3FC6"/>
    <w:rsid w:val="00AF4B5F"/>
    <w:rsid w:val="00AF5B6E"/>
    <w:rsid w:val="00AF79AE"/>
    <w:rsid w:val="00B006E5"/>
    <w:rsid w:val="00B00CFD"/>
    <w:rsid w:val="00B01374"/>
    <w:rsid w:val="00B01F74"/>
    <w:rsid w:val="00B02343"/>
    <w:rsid w:val="00B02BB9"/>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5F0"/>
    <w:rsid w:val="00B56945"/>
    <w:rsid w:val="00B610C2"/>
    <w:rsid w:val="00B61B6F"/>
    <w:rsid w:val="00B61D29"/>
    <w:rsid w:val="00B62F6C"/>
    <w:rsid w:val="00B634F2"/>
    <w:rsid w:val="00B65F11"/>
    <w:rsid w:val="00B673AC"/>
    <w:rsid w:val="00B6777F"/>
    <w:rsid w:val="00B720BA"/>
    <w:rsid w:val="00B733B0"/>
    <w:rsid w:val="00B745B3"/>
    <w:rsid w:val="00B74F7D"/>
    <w:rsid w:val="00B765C1"/>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73F"/>
    <w:rsid w:val="00BC2F0B"/>
    <w:rsid w:val="00BC3206"/>
    <w:rsid w:val="00BC4832"/>
    <w:rsid w:val="00BC5451"/>
    <w:rsid w:val="00BC5744"/>
    <w:rsid w:val="00BC5AE3"/>
    <w:rsid w:val="00BC5B8A"/>
    <w:rsid w:val="00BD1613"/>
    <w:rsid w:val="00BD274B"/>
    <w:rsid w:val="00BD3AB4"/>
    <w:rsid w:val="00BD6932"/>
    <w:rsid w:val="00BD6D24"/>
    <w:rsid w:val="00BE049B"/>
    <w:rsid w:val="00BE0825"/>
    <w:rsid w:val="00BE13CB"/>
    <w:rsid w:val="00BE1F9E"/>
    <w:rsid w:val="00BE2557"/>
    <w:rsid w:val="00BE2BF8"/>
    <w:rsid w:val="00BE3B1E"/>
    <w:rsid w:val="00BE46F4"/>
    <w:rsid w:val="00BE4F54"/>
    <w:rsid w:val="00BE525E"/>
    <w:rsid w:val="00BE5842"/>
    <w:rsid w:val="00BE5C59"/>
    <w:rsid w:val="00BE627E"/>
    <w:rsid w:val="00BE71DD"/>
    <w:rsid w:val="00BF20B8"/>
    <w:rsid w:val="00BF2BCA"/>
    <w:rsid w:val="00BF4357"/>
    <w:rsid w:val="00BF5C7E"/>
    <w:rsid w:val="00BF5CAB"/>
    <w:rsid w:val="00BF6293"/>
    <w:rsid w:val="00BF6702"/>
    <w:rsid w:val="00BF6E4C"/>
    <w:rsid w:val="00BF71E9"/>
    <w:rsid w:val="00BF71F1"/>
    <w:rsid w:val="00BF76DF"/>
    <w:rsid w:val="00BF7CB5"/>
    <w:rsid w:val="00C01031"/>
    <w:rsid w:val="00C01384"/>
    <w:rsid w:val="00C01AF9"/>
    <w:rsid w:val="00C0274C"/>
    <w:rsid w:val="00C02F33"/>
    <w:rsid w:val="00C1090B"/>
    <w:rsid w:val="00C10DD0"/>
    <w:rsid w:val="00C11107"/>
    <w:rsid w:val="00C13017"/>
    <w:rsid w:val="00C13FBE"/>
    <w:rsid w:val="00C141CA"/>
    <w:rsid w:val="00C14927"/>
    <w:rsid w:val="00C149A3"/>
    <w:rsid w:val="00C15D54"/>
    <w:rsid w:val="00C16C64"/>
    <w:rsid w:val="00C173CD"/>
    <w:rsid w:val="00C20109"/>
    <w:rsid w:val="00C20FC8"/>
    <w:rsid w:val="00C227D5"/>
    <w:rsid w:val="00C2287D"/>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A85"/>
    <w:rsid w:val="00C46FCF"/>
    <w:rsid w:val="00C4753A"/>
    <w:rsid w:val="00C512D5"/>
    <w:rsid w:val="00C51B29"/>
    <w:rsid w:val="00C5205E"/>
    <w:rsid w:val="00C522AB"/>
    <w:rsid w:val="00C55D72"/>
    <w:rsid w:val="00C56D45"/>
    <w:rsid w:val="00C57511"/>
    <w:rsid w:val="00C6146F"/>
    <w:rsid w:val="00C61626"/>
    <w:rsid w:val="00C62AF0"/>
    <w:rsid w:val="00C636BA"/>
    <w:rsid w:val="00C63A43"/>
    <w:rsid w:val="00C648D8"/>
    <w:rsid w:val="00C65DA8"/>
    <w:rsid w:val="00C6612A"/>
    <w:rsid w:val="00C6668B"/>
    <w:rsid w:val="00C666FB"/>
    <w:rsid w:val="00C66EE0"/>
    <w:rsid w:val="00C671B1"/>
    <w:rsid w:val="00C6780B"/>
    <w:rsid w:val="00C6D1CB"/>
    <w:rsid w:val="00C700B7"/>
    <w:rsid w:val="00C7026C"/>
    <w:rsid w:val="00C70434"/>
    <w:rsid w:val="00C71045"/>
    <w:rsid w:val="00C711D3"/>
    <w:rsid w:val="00C72EC1"/>
    <w:rsid w:val="00C72FA9"/>
    <w:rsid w:val="00C73FAD"/>
    <w:rsid w:val="00C74636"/>
    <w:rsid w:val="00C74D69"/>
    <w:rsid w:val="00C75536"/>
    <w:rsid w:val="00C757CB"/>
    <w:rsid w:val="00C758F8"/>
    <w:rsid w:val="00C76B74"/>
    <w:rsid w:val="00C81DE5"/>
    <w:rsid w:val="00C82860"/>
    <w:rsid w:val="00C837C9"/>
    <w:rsid w:val="00C8396C"/>
    <w:rsid w:val="00C84F1D"/>
    <w:rsid w:val="00C85DD9"/>
    <w:rsid w:val="00C85F5A"/>
    <w:rsid w:val="00C8618D"/>
    <w:rsid w:val="00C864FB"/>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5DA4"/>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066"/>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87F"/>
    <w:rsid w:val="00D56EA7"/>
    <w:rsid w:val="00D57AD5"/>
    <w:rsid w:val="00D6003F"/>
    <w:rsid w:val="00D60275"/>
    <w:rsid w:val="00D637B2"/>
    <w:rsid w:val="00D6386F"/>
    <w:rsid w:val="00D66DDD"/>
    <w:rsid w:val="00D677CB"/>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839"/>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6CB5"/>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2EB5"/>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2B6E"/>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0797"/>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27DD"/>
    <w:rsid w:val="00EA38F1"/>
    <w:rsid w:val="00EA4912"/>
    <w:rsid w:val="00EA4E12"/>
    <w:rsid w:val="00EA5D38"/>
    <w:rsid w:val="00EA65D9"/>
    <w:rsid w:val="00EA67B3"/>
    <w:rsid w:val="00EA734B"/>
    <w:rsid w:val="00EA7A7E"/>
    <w:rsid w:val="00EA7B0F"/>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BE7"/>
    <w:rsid w:val="00F33485"/>
    <w:rsid w:val="00F3585C"/>
    <w:rsid w:val="00F3642C"/>
    <w:rsid w:val="00F3654A"/>
    <w:rsid w:val="00F36C5B"/>
    <w:rsid w:val="00F408F6"/>
    <w:rsid w:val="00F40E78"/>
    <w:rsid w:val="00F40EEF"/>
    <w:rsid w:val="00F41680"/>
    <w:rsid w:val="00F41EE0"/>
    <w:rsid w:val="00F42C39"/>
    <w:rsid w:val="00F511CC"/>
    <w:rsid w:val="00F51334"/>
    <w:rsid w:val="00F5203B"/>
    <w:rsid w:val="00F526AD"/>
    <w:rsid w:val="00F527B7"/>
    <w:rsid w:val="00F52E73"/>
    <w:rsid w:val="00F52F6F"/>
    <w:rsid w:val="00F53828"/>
    <w:rsid w:val="00F5517E"/>
    <w:rsid w:val="00F60972"/>
    <w:rsid w:val="00F60B38"/>
    <w:rsid w:val="00F6108E"/>
    <w:rsid w:val="00F61CB7"/>
    <w:rsid w:val="00F6224F"/>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19F"/>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B5FA4"/>
    <w:rsid w:val="00FC0689"/>
    <w:rsid w:val="00FC13F0"/>
    <w:rsid w:val="00FC337B"/>
    <w:rsid w:val="00FC44E3"/>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40307131230/https://eur-lex.europa.eu/legal-content/EN/TXT/PDF/?uri=CELEX:62021CJ0601" TargetMode="Externa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23082652/https://eur-lex.europa.eu/eli/dir/2014/24/oj/eng"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50723112426/https://eur-lex.europa.eu/legal-content/EN/ALL/?uri=CELEX%3A62019CJ0927"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115</Pages>
  <Words>24217</Words>
  <Characters>138042</Characters>
  <Application>Microsoft Office Word</Application>
  <DocSecurity>0</DocSecurity>
  <Lines>1150</Lines>
  <Paragraphs>323</Paragraphs>
  <ScaleCrop>false</ScaleCrop>
  <Company/>
  <LinksUpToDate>false</LinksUpToDate>
  <CharactersWithSpaces>161936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Margarida Marques</cp:lastModifiedBy>
  <cp:revision>113</cp:revision>
  <cp:lastPrinted>2025-03-21T00:14:00Z</cp:lastPrinted>
  <dcterms:created xsi:type="dcterms:W3CDTF">2025-06-19T12:22:00Z</dcterms:created>
  <dcterms:modified xsi:type="dcterms:W3CDTF">2025-07-23T15:22:00Z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